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5F953" w14:textId="77777777" w:rsidR="00BA1818" w:rsidRDefault="00BA1818" w:rsidP="00BA1818">
      <w:pPr>
        <w:jc w:val="center"/>
        <w:rPr>
          <w:b/>
          <w:bCs/>
          <w:sz w:val="40"/>
          <w:szCs w:val="40"/>
          <w:lang w:val="es-ES"/>
        </w:rPr>
      </w:pPr>
    </w:p>
    <w:p w14:paraId="666B4863" w14:textId="77777777" w:rsidR="00BA1818" w:rsidRDefault="00BA1818" w:rsidP="00BA1818">
      <w:pPr>
        <w:jc w:val="center"/>
        <w:rPr>
          <w:b/>
          <w:bCs/>
          <w:sz w:val="40"/>
          <w:szCs w:val="40"/>
          <w:lang w:val="es-ES"/>
        </w:rPr>
      </w:pPr>
    </w:p>
    <w:p w14:paraId="6B0FD809" w14:textId="77777777" w:rsidR="00BA1818" w:rsidRDefault="00BA1818" w:rsidP="00BA1818">
      <w:pPr>
        <w:jc w:val="center"/>
        <w:rPr>
          <w:b/>
          <w:bCs/>
          <w:sz w:val="40"/>
          <w:szCs w:val="40"/>
          <w:lang w:val="es-ES"/>
        </w:rPr>
      </w:pPr>
    </w:p>
    <w:p w14:paraId="760D1366" w14:textId="77777777" w:rsidR="00BA1818" w:rsidRDefault="00BA1818" w:rsidP="00BA1818">
      <w:pPr>
        <w:jc w:val="center"/>
        <w:rPr>
          <w:b/>
          <w:bCs/>
          <w:sz w:val="40"/>
          <w:szCs w:val="40"/>
          <w:lang w:val="es-ES"/>
        </w:rPr>
      </w:pPr>
    </w:p>
    <w:p w14:paraId="27597585" w14:textId="77777777" w:rsidR="00BA1818" w:rsidRDefault="00BA1818" w:rsidP="00BA1818">
      <w:pPr>
        <w:jc w:val="center"/>
        <w:rPr>
          <w:b/>
          <w:bCs/>
          <w:sz w:val="40"/>
          <w:szCs w:val="40"/>
          <w:lang w:val="es-ES"/>
        </w:rPr>
      </w:pPr>
    </w:p>
    <w:p w14:paraId="0F3DD5B9" w14:textId="77777777" w:rsidR="00BA1818" w:rsidRDefault="00BA1818" w:rsidP="00BA1818">
      <w:pPr>
        <w:jc w:val="center"/>
        <w:rPr>
          <w:b/>
          <w:bCs/>
          <w:sz w:val="40"/>
          <w:szCs w:val="40"/>
          <w:lang w:val="es-ES"/>
        </w:rPr>
      </w:pPr>
    </w:p>
    <w:p w14:paraId="0412A893" w14:textId="77777777" w:rsidR="00BA1818" w:rsidRDefault="00BA1818" w:rsidP="00BA1818">
      <w:pPr>
        <w:jc w:val="center"/>
        <w:rPr>
          <w:b/>
          <w:bCs/>
          <w:sz w:val="40"/>
          <w:szCs w:val="40"/>
          <w:lang w:val="es-ES"/>
        </w:rPr>
      </w:pPr>
    </w:p>
    <w:p w14:paraId="076D391B" w14:textId="523CDDB7" w:rsidR="00BA1818" w:rsidRPr="00BA1818" w:rsidRDefault="00BA1818" w:rsidP="00BA1818">
      <w:pPr>
        <w:jc w:val="center"/>
        <w:rPr>
          <w:b/>
          <w:bCs/>
          <w:sz w:val="40"/>
          <w:szCs w:val="40"/>
          <w:lang w:val="es-ES"/>
        </w:rPr>
      </w:pPr>
      <w:r w:rsidRPr="00BA1818">
        <w:rPr>
          <w:b/>
          <w:bCs/>
          <w:sz w:val="40"/>
          <w:szCs w:val="40"/>
          <w:lang w:val="es-ES"/>
        </w:rPr>
        <w:t>Plan de Acción 2024-2025</w:t>
      </w:r>
    </w:p>
    <w:p w14:paraId="04347470" w14:textId="77777777" w:rsidR="00BA1818" w:rsidRPr="00BA1818" w:rsidRDefault="00BA1818" w:rsidP="00BA1818">
      <w:pPr>
        <w:jc w:val="center"/>
        <w:rPr>
          <w:sz w:val="32"/>
          <w:szCs w:val="32"/>
          <w:lang w:val="es-ES"/>
        </w:rPr>
      </w:pPr>
    </w:p>
    <w:p w14:paraId="6B63A5EE" w14:textId="77777777" w:rsidR="00BA1818" w:rsidRPr="00BA1818" w:rsidRDefault="00BA1818" w:rsidP="00BA1818">
      <w:pPr>
        <w:jc w:val="center"/>
        <w:rPr>
          <w:sz w:val="32"/>
          <w:szCs w:val="32"/>
          <w:lang w:val="es-ES"/>
        </w:rPr>
      </w:pPr>
      <w:r w:rsidRPr="00BA1818">
        <w:rPr>
          <w:sz w:val="32"/>
          <w:szCs w:val="32"/>
          <w:lang w:val="es-ES"/>
        </w:rPr>
        <w:t>Muchas culturas, muchas mentes, un solo objetivo: el éxito académico</w:t>
      </w:r>
    </w:p>
    <w:p w14:paraId="68E192F8" w14:textId="77777777" w:rsidR="00BA1818" w:rsidRDefault="00BA1818" w:rsidP="00BA1818">
      <w:pPr>
        <w:jc w:val="center"/>
        <w:rPr>
          <w:sz w:val="32"/>
          <w:szCs w:val="32"/>
          <w:lang w:val="es-ES"/>
        </w:rPr>
      </w:pPr>
    </w:p>
    <w:p w14:paraId="6F160368" w14:textId="77777777" w:rsidR="00BA1818" w:rsidRDefault="00BA1818" w:rsidP="00BA1818">
      <w:pPr>
        <w:jc w:val="center"/>
        <w:rPr>
          <w:sz w:val="32"/>
          <w:szCs w:val="32"/>
          <w:lang w:val="es-ES"/>
        </w:rPr>
      </w:pPr>
    </w:p>
    <w:p w14:paraId="6820D211" w14:textId="77777777" w:rsidR="00BA1818" w:rsidRPr="00BA1818" w:rsidRDefault="00BA1818" w:rsidP="00BA1818">
      <w:pPr>
        <w:jc w:val="center"/>
        <w:rPr>
          <w:sz w:val="32"/>
          <w:szCs w:val="32"/>
          <w:lang w:val="es-ES"/>
        </w:rPr>
      </w:pPr>
    </w:p>
    <w:p w14:paraId="30D02982" w14:textId="77777777" w:rsidR="00BA1818" w:rsidRDefault="00BA1818" w:rsidP="00BA1818">
      <w:pPr>
        <w:jc w:val="center"/>
        <w:rPr>
          <w:sz w:val="32"/>
          <w:szCs w:val="32"/>
          <w:lang w:val="es-ES"/>
        </w:rPr>
      </w:pPr>
      <w:r w:rsidRPr="00BA1818">
        <w:rPr>
          <w:sz w:val="32"/>
          <w:szCs w:val="32"/>
          <w:lang w:val="es-ES"/>
        </w:rPr>
        <w:t>Preparatoria Liberty</w:t>
      </w:r>
    </w:p>
    <w:p w14:paraId="68470532" w14:textId="77777777" w:rsidR="00BA1818" w:rsidRPr="00BA1818" w:rsidRDefault="00BA1818" w:rsidP="00BA1818">
      <w:pPr>
        <w:jc w:val="center"/>
        <w:rPr>
          <w:sz w:val="32"/>
          <w:szCs w:val="32"/>
          <w:lang w:val="es-ES"/>
        </w:rPr>
      </w:pPr>
    </w:p>
    <w:p w14:paraId="3CD52BE8" w14:textId="77777777" w:rsidR="00BA1818" w:rsidRPr="00BA1818" w:rsidRDefault="00BA1818" w:rsidP="00BA1818">
      <w:pPr>
        <w:jc w:val="center"/>
        <w:rPr>
          <w:sz w:val="32"/>
          <w:szCs w:val="32"/>
        </w:rPr>
      </w:pPr>
      <w:r w:rsidRPr="00BA1818">
        <w:rPr>
          <w:sz w:val="32"/>
          <w:szCs w:val="32"/>
          <w:lang w:val="es-ES"/>
        </w:rPr>
        <w:t>Mónico Rivas, Director</w:t>
      </w:r>
    </w:p>
    <w:p w14:paraId="0B640205" w14:textId="77777777" w:rsidR="000961A7" w:rsidRDefault="000961A7"/>
    <w:p w14:paraId="0111703C" w14:textId="72A7D4B1" w:rsidR="00BA1818" w:rsidRDefault="00BA1818">
      <w:r>
        <w:br w:type="page"/>
      </w:r>
    </w:p>
    <w:p w14:paraId="10F7A932" w14:textId="34D3F59D" w:rsidR="00BA1818" w:rsidRDefault="00BA1818" w:rsidP="00BA1818">
      <w:pPr>
        <w:jc w:val="center"/>
        <w:rPr>
          <w:b/>
          <w:bCs/>
          <w:sz w:val="32"/>
          <w:szCs w:val="32"/>
          <w:lang w:val="es-ES"/>
        </w:rPr>
      </w:pPr>
      <w:r w:rsidRPr="00BA1818">
        <w:rPr>
          <w:noProof/>
          <w:lang w:val="es-MX"/>
        </w:rPr>
        <w:lastRenderedPageBreak/>
        <mc:AlternateContent>
          <mc:Choice Requires="wps">
            <w:drawing>
              <wp:anchor distT="45720" distB="45720" distL="114300" distR="114300" simplePos="0" relativeHeight="251663360" behindDoc="0" locked="0" layoutInCell="1" allowOverlap="1" wp14:anchorId="262B31A8" wp14:editId="377E7F2E">
                <wp:simplePos x="0" y="0"/>
                <wp:positionH relativeFrom="column">
                  <wp:posOffset>-656492</wp:posOffset>
                </wp:positionH>
                <wp:positionV relativeFrom="paragraph">
                  <wp:posOffset>4778473</wp:posOffset>
                </wp:positionV>
                <wp:extent cx="7326630" cy="4056184"/>
                <wp:effectExtent l="0" t="0" r="26670" b="20955"/>
                <wp:wrapSquare wrapText="bothSides"/>
                <wp:docPr id="1101554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6630" cy="4056184"/>
                        </a:xfrm>
                        <a:prstGeom prst="rect">
                          <a:avLst/>
                        </a:prstGeom>
                        <a:solidFill>
                          <a:srgbClr val="FFFFFF"/>
                        </a:solidFill>
                        <a:ln w="9525">
                          <a:solidFill>
                            <a:srgbClr val="000000"/>
                          </a:solidFill>
                          <a:miter lim="800000"/>
                          <a:headEnd/>
                          <a:tailEnd/>
                        </a:ln>
                      </wps:spPr>
                      <wps:txbx>
                        <w:txbxContent>
                          <w:p w14:paraId="63398287" w14:textId="68C64A9D" w:rsidR="00BA1818" w:rsidRPr="00BA1818" w:rsidRDefault="00BA1818" w:rsidP="00BA1818">
                            <w:pPr>
                              <w:rPr>
                                <w:lang w:val="es-ES"/>
                              </w:rPr>
                            </w:pPr>
                            <w:r w:rsidRPr="00BA1818">
                              <w:rPr>
                                <w:lang w:val="es-ES"/>
                              </w:rPr>
                              <w:t>Necesidades relacionadas con la mejora de la calidad de la instrucción.</w:t>
                            </w:r>
                          </w:p>
                          <w:p w14:paraId="30516536" w14:textId="77777777" w:rsidR="00BA1818" w:rsidRPr="00BA1818" w:rsidRDefault="00BA1818" w:rsidP="00BA1818">
                            <w:pPr>
                              <w:rPr>
                                <w:lang w:val="es-MX"/>
                              </w:rPr>
                            </w:pPr>
                            <w:r w:rsidRPr="00BA1818">
                              <w:rPr>
                                <w:lang w:val="es-ES"/>
                              </w:rPr>
                              <w:t>Las mayores fortalezas de aprendizaje de nuestros estudiantes son sus experiencias de vida y su motivación por aprender inglés mientras cursan sus estudios de bachillerato. El objetivo del equipo directivo y del profesorado del campus es aprovechar las fortalezas que nuestros estudiantes aportan al entorno de aprendizaje mediante las siguientes iniciativas: El equipo directivo y el personal de la Escuela Preparatoria Liberty comprenden la importancia de contar con estándares comunes que todos los estudiantes, padres y profesores comprendan. Los docentes líderes colaborarán con los miembros de su departamento para desarrollar objetivos de aprendizaje que se miden cada cuatro semanas (además de utilizar otras evaluaciones formativas para medir el progreso diario y semanal), así como cada semestre para medir el aprendizaje de los estudiantes en momentos clave del año escolar. Los puntos de referencia formativos se utilizarán para ayudar a nuestra escuela y al profesorado a proporcionar intervenciones oportunas durante el semestre, y nuestras evaluaciones sumativas de final de unidad/semestre medirán el nivel general de dominio de nuestros estudiantes en cada área de contenido.</w:t>
                            </w:r>
                          </w:p>
                          <w:p w14:paraId="6490B91F" w14:textId="77777777" w:rsidR="00BA1818" w:rsidRPr="00BA1818" w:rsidRDefault="00BA1818" w:rsidP="00BA1818">
                            <w:pPr>
                              <w:rPr>
                                <w:lang w:val="es-ES"/>
                              </w:rPr>
                            </w:pPr>
                            <w:r w:rsidRPr="00BA1818">
                              <w:rPr>
                                <w:lang w:val="es-ES"/>
                              </w:rPr>
                              <w:t>Los líderes docentes de cada área básica y optativa revisan y analizan regularmente los resultados de las evaluaciones formativas con miembros de su departamento durante las horas de PLC para medir el progreso académico de los estudiantes en sus áreas de contenido. Se espera que los docentes utilicen los resultados de las evaluaciones de referencia para realizar ajustes oportunos en el ritmo, el contenido y la cobertura conceptual, a la vez que brindan apoyo a los estudiantes con dificultades de aprendizaje.</w:t>
                            </w:r>
                          </w:p>
                          <w:p w14:paraId="1F1AC304" w14:textId="77777777" w:rsidR="00BA1818" w:rsidRPr="00BA1818" w:rsidRDefault="00BA1818" w:rsidP="00BA1818">
                            <w:pPr>
                              <w:rPr>
                                <w:lang w:val="es-MX"/>
                              </w:rPr>
                            </w:pPr>
                            <w:r w:rsidRPr="00BA1818">
                              <w:rPr>
                                <w:lang w:val="es-ES"/>
                              </w:rPr>
                              <w:t>Dado que más del 40 % de nuestros estudiantes se matriculan con importantes deficiencias en su educación formal y comienzan su educación en la Escuela Preparatoria Liberty en el nivel inicial de dominio del inglés, es imperativo que la instrucción para estudiantes bilingües emergentes incluya andamiajes y apoyos lingüísticos que faciliten el acceso al aprendizaje de contenido y habilidades propias del grado escolar. Para involucrar a los estudiantes de inglés en el trabajo de su grado escolar, los docentes deben implementar andamiajes en las lecciones sin reducir las expectativas de aprendizaje.</w:t>
                            </w:r>
                          </w:p>
                          <w:p w14:paraId="072C70E6" w14:textId="036C31FC" w:rsidR="00BA1818" w:rsidRPr="00BA1818" w:rsidRDefault="00BA1818">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B31A8" id="_x0000_t202" coordsize="21600,21600" o:spt="202" path="m,l,21600r21600,l21600,xe">
                <v:stroke joinstyle="miter"/>
                <v:path gradientshapeok="t" o:connecttype="rect"/>
              </v:shapetype>
              <v:shape id="Text Box 2" o:spid="_x0000_s1026" type="#_x0000_t202" style="position:absolute;left:0;text-align:left;margin-left:-51.7pt;margin-top:376.25pt;width:576.9pt;height:319.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0TEQIAACA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">
                <v:textbox>
                  <w:txbxContent>
                    <w:p w14:paraId="63398287" w14:textId="68C64A9D" w:rsidR="00BA1818" w:rsidRPr="00BA1818" w:rsidRDefault="00BA1818" w:rsidP="00BA1818">
                      <w:pPr>
                        <w:rPr>
                          <w:lang w:val="es-ES"/>
                        </w:rPr>
                      </w:pPr>
                      <w:r w:rsidRPr="00BA1818">
                        <w:rPr>
                          <w:lang w:val="es-ES"/>
                        </w:rPr>
                        <w:t>Necesidades relacionadas con la mejora de la calidad de la instrucción.</w:t>
                      </w:r>
                    </w:p>
                    <w:p w14:paraId="30516536" w14:textId="77777777" w:rsidR="00BA1818" w:rsidRPr="00BA1818" w:rsidRDefault="00BA1818" w:rsidP="00BA1818">
                      <w:pPr>
                        <w:rPr>
                          <w:lang w:val="es-MX"/>
                        </w:rPr>
                      </w:pPr>
                      <w:r w:rsidRPr="00BA1818">
                        <w:rPr>
                          <w:lang w:val="es-ES"/>
                        </w:rPr>
                        <w:t>Las mayores fortalezas de aprendizaje de nuestros estudiantes son sus experiencias de vida y su motivación por aprender inglés mientras cursan sus estudios de bachillerato. El objetivo del equipo directivo y del profesorado del campus es aprovechar las fortalezas que nuestros estudiantes aportan al entorno de aprendizaje mediante las siguientes iniciativas: El equipo directivo y el personal de la Escuela Preparatoria Liberty comprenden la importancia de contar con estándares comunes que todos los estudiantes, padres y profesores comprendan. Los docentes líderes colaborarán con los miembros de su departamento para desarrollar objetivos de aprendizaje que se miden cada cuatro semanas (además de utilizar otras evaluaciones formativas para medir el progreso diario y semanal), así como cada semestre para medir el aprendizaje de los estudiantes en momentos clave del año escolar. Los puntos de referencia formativos se utilizarán para ayudar a nuestra escuela y al profesorado a proporcionar intervenciones oportunas durante el semestre, y nuestras evaluaciones sumativas de final de unidad/semestre medirán el nivel general de dominio de nuestros estudiantes en cada área de contenido.</w:t>
                      </w:r>
                    </w:p>
                    <w:p w14:paraId="6490B91F" w14:textId="77777777" w:rsidR="00BA1818" w:rsidRPr="00BA1818" w:rsidRDefault="00BA1818" w:rsidP="00BA1818">
                      <w:pPr>
                        <w:rPr>
                          <w:lang w:val="es-ES"/>
                        </w:rPr>
                      </w:pPr>
                      <w:r w:rsidRPr="00BA1818">
                        <w:rPr>
                          <w:lang w:val="es-ES"/>
                        </w:rPr>
                        <w:t>Los líderes docentes de cada área básica y optativa revisan y analizan regularmente los resultados de las evaluaciones formativas con miembros de su departamento durante las horas de PLC para medir el progreso académico de los estudiantes en sus áreas de contenido. Se espera que los docentes utilicen los resultados de las evaluaciones de referencia para realizar ajustes oportunos en el ritmo, el contenido y la cobertura conceptual, a la vez que brindan apoyo a los estudiantes con dificultades de aprendizaje.</w:t>
                      </w:r>
                    </w:p>
                    <w:p w14:paraId="1F1AC304" w14:textId="77777777" w:rsidR="00BA1818" w:rsidRPr="00BA1818" w:rsidRDefault="00BA1818" w:rsidP="00BA1818">
                      <w:pPr>
                        <w:rPr>
                          <w:lang w:val="es-MX"/>
                        </w:rPr>
                      </w:pPr>
                      <w:r w:rsidRPr="00BA1818">
                        <w:rPr>
                          <w:lang w:val="es-ES"/>
                        </w:rPr>
                        <w:t>Dado que más del 40 % de nuestros estudiantes se matriculan con importantes deficiencias en su educación formal y comienzan su educación en la Escuela Preparatoria Liberty en el nivel inicial de dominio del inglés, es imperativo que la instrucción para estudiantes bilingües emergentes incluya andamiajes y apoyos lingüísticos que faciliten el acceso al aprendizaje de contenido y habilidades propias del grado escolar. Para involucrar a los estudiantes de inglés en el trabajo de su grado escolar, los docentes deben implementar andamiajes en las lecciones sin reducir las expectativas de aprendizaje.</w:t>
                      </w:r>
                    </w:p>
                    <w:p w14:paraId="072C70E6" w14:textId="036C31FC" w:rsidR="00BA1818" w:rsidRPr="00BA1818" w:rsidRDefault="00BA1818">
                      <w:pPr>
                        <w:rPr>
                          <w:lang w:val="es-MX"/>
                        </w:rPr>
                      </w:pPr>
                    </w:p>
                  </w:txbxContent>
                </v:textbox>
                <w10:wrap type="square"/>
              </v:shape>
            </w:pict>
          </mc:Fallback>
        </mc:AlternateContent>
      </w:r>
      <w:r w:rsidRPr="00BA1818">
        <w:rPr>
          <w:b/>
          <w:bCs/>
          <w:noProof/>
          <w:lang w:val="es-MX"/>
        </w:rPr>
        <mc:AlternateContent>
          <mc:Choice Requires="wps">
            <w:drawing>
              <wp:anchor distT="45720" distB="45720" distL="114300" distR="114300" simplePos="0" relativeHeight="251661312" behindDoc="0" locked="0" layoutInCell="1" allowOverlap="1" wp14:anchorId="4E245C0D" wp14:editId="3A99A8EF">
                <wp:simplePos x="0" y="0"/>
                <wp:positionH relativeFrom="column">
                  <wp:posOffset>-656590</wp:posOffset>
                </wp:positionH>
                <wp:positionV relativeFrom="paragraph">
                  <wp:posOffset>1226185</wp:posOffset>
                </wp:positionV>
                <wp:extent cx="7326630" cy="1404620"/>
                <wp:effectExtent l="0" t="0" r="26670" b="13335"/>
                <wp:wrapSquare wrapText="bothSides"/>
                <wp:docPr id="1964912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6630" cy="1404620"/>
                        </a:xfrm>
                        <a:prstGeom prst="rect">
                          <a:avLst/>
                        </a:prstGeom>
                        <a:solidFill>
                          <a:srgbClr val="FFFFFF"/>
                        </a:solidFill>
                        <a:ln w="9525">
                          <a:solidFill>
                            <a:srgbClr val="000000"/>
                          </a:solidFill>
                          <a:miter lim="800000"/>
                          <a:headEnd/>
                          <a:tailEnd/>
                        </a:ln>
                      </wps:spPr>
                      <wps:txbx>
                        <w:txbxContent>
                          <w:p w14:paraId="1F43EA11" w14:textId="67E82293" w:rsidR="00BA1818" w:rsidRPr="00BA1818" w:rsidRDefault="00BA1818" w:rsidP="00BA1818">
                            <w:pPr>
                              <w:rPr>
                                <w:lang w:val="es-ES"/>
                              </w:rPr>
                            </w:pPr>
                            <w:r w:rsidRPr="00BA1818">
                              <w:rPr>
                                <w:lang w:val="es-ES"/>
                              </w:rPr>
                              <w:t>Necesidades relacionadas con los datos de rendimiento estudiantil.</w:t>
                            </w:r>
                          </w:p>
                          <w:p w14:paraId="0B7761E0" w14:textId="77777777" w:rsidR="00BA1818" w:rsidRPr="00BA1818" w:rsidRDefault="00BA1818" w:rsidP="00BA1818">
                            <w:pPr>
                              <w:rPr>
                                <w:lang w:val="es-ES"/>
                              </w:rPr>
                            </w:pPr>
                            <w:r w:rsidRPr="00BA1818">
                              <w:rPr>
                                <w:lang w:val="es-ES"/>
                              </w:rPr>
                              <w:t>- Los estudiantes bilingües emergentes representan el 96% de la población estudiantil en la Preparatoria Liberty, y el 64% está clasificado como recién llegados.</w:t>
                            </w:r>
                          </w:p>
                          <w:p w14:paraId="7DF27DBA" w14:textId="77777777" w:rsidR="00BA1818" w:rsidRPr="00BA1818" w:rsidRDefault="00BA1818" w:rsidP="00BA1818">
                            <w:pPr>
                              <w:rPr>
                                <w:lang w:val="es-ES"/>
                              </w:rPr>
                            </w:pPr>
                            <w:r w:rsidRPr="00BA1818">
                              <w:rPr>
                                <w:lang w:val="es-ES"/>
                              </w:rPr>
                              <w:t>- El 98% de los estudiantes de la Preparatoria Liberty están clasificados como en riesgo, según la definición de la Agencia de Educación de Texas.</w:t>
                            </w:r>
                          </w:p>
                          <w:p w14:paraId="5ACE40FB" w14:textId="77777777" w:rsidR="00BA1818" w:rsidRPr="00BA1818" w:rsidRDefault="00BA1818" w:rsidP="00BA1818">
                            <w:pPr>
                              <w:rPr>
                                <w:lang w:val="es-ES"/>
                              </w:rPr>
                            </w:pPr>
                            <w:r w:rsidRPr="00BA1818">
                              <w:rPr>
                                <w:lang w:val="es-ES"/>
                              </w:rPr>
                              <w:t>- El 34% de la población estudiantil trabaja a tiempo completo durante el día y solo puede asistir a clases por la noche.</w:t>
                            </w:r>
                          </w:p>
                          <w:p w14:paraId="359FB321" w14:textId="77777777" w:rsidR="00BA1818" w:rsidRPr="00BA1818" w:rsidRDefault="00BA1818" w:rsidP="00BA1818">
                            <w:pPr>
                              <w:rPr>
                                <w:lang w:val="es-ES"/>
                              </w:rPr>
                            </w:pPr>
                            <w:r w:rsidRPr="00BA1818">
                              <w:rPr>
                                <w:lang w:val="es-ES"/>
                              </w:rPr>
                              <w:t>- Al inscribirse, más del 80% de los estudiantes de la Preparatoria Liberty, tanto diurnos como nocturnos, comienzan en una escuela estadounidense por primera vez y deben cumplir con los mismos requisitos que los estudiantes graduados que han asistido a una escuela estadounidense desde la primaria. Estos requisitos incluyen completar 26 créditos y aprobar las evaluaciones STAAR de Texas.</w:t>
                            </w:r>
                          </w:p>
                          <w:p w14:paraId="30B1D3D6" w14:textId="77777777" w:rsidR="00BA1818" w:rsidRDefault="00BA1818" w:rsidP="00BA1818">
                            <w:pPr>
                              <w:rPr>
                                <w:lang w:val="es-ES"/>
                              </w:rPr>
                            </w:pPr>
                            <w:r w:rsidRPr="00BA1818">
                              <w:rPr>
                                <w:lang w:val="es-ES"/>
                              </w:rPr>
                              <w:t xml:space="preserve">- Dadas las tendencias de rendimiento de los últimos tres años, los estudiantes bilingües emergentes de la Preparatoria Liberty están mostrando una mejora en el nivel de aproximación, pero se necesita más mejora para aumentar el número de estudiantes con EB que se desempeñan en los niveles de cumplimiento y dominio. </w:t>
                            </w:r>
                          </w:p>
                          <w:p w14:paraId="1F872C46" w14:textId="510B1BA1" w:rsidR="00BA1818" w:rsidRPr="00BA1818" w:rsidRDefault="00BA1818" w:rsidP="00BA1818">
                            <w:pPr>
                              <w:rPr>
                                <w:lang w:val="es-ES"/>
                              </w:rPr>
                            </w:pPr>
                            <w:r>
                              <w:rPr>
                                <w:lang w:val="es-ES"/>
                              </w:rPr>
                              <w:t>-</w:t>
                            </w:r>
                            <w:r w:rsidRPr="00BA1818">
                              <w:rPr>
                                <w:lang w:val="es-ES"/>
                              </w:rPr>
                              <w:t>El 45 % de los estudiantes del grupo de responsabilidad del campus mejoró un nivel o más en el TELPAS, superando el estándar estatal del 36 %.</w:t>
                            </w:r>
                          </w:p>
                          <w:p w14:paraId="45706569" w14:textId="132A18EE" w:rsidR="00BA1818" w:rsidRPr="00BA1818" w:rsidRDefault="00BA1818" w:rsidP="00BA1818">
                            <w:pPr>
                              <w:rPr>
                                <w:lang w:val="es-ES"/>
                              </w:rPr>
                            </w:pPr>
                            <w:r>
                              <w:rPr>
                                <w:lang w:val="es-ES"/>
                              </w:rPr>
                              <w:t>-</w:t>
                            </w:r>
                            <w:r w:rsidRPr="00BA1818">
                              <w:rPr>
                                <w:lang w:val="es-ES"/>
                              </w:rPr>
                              <w:t>El campus tiene un estudiante de educación especial identificado.</w:t>
                            </w:r>
                          </w:p>
                          <w:p w14:paraId="38A5AFCC" w14:textId="130B7433" w:rsidR="00BA1818" w:rsidRPr="00BA1818" w:rsidRDefault="00BA1818" w:rsidP="00BA1818">
                            <w:pPr>
                              <w:rPr>
                                <w:lang w:val="es-MX"/>
                              </w:rPr>
                            </w:pPr>
                            <w:r>
                              <w:rPr>
                                <w:lang w:val="es-ES"/>
                              </w:rPr>
                              <w:t>-</w:t>
                            </w:r>
                            <w:r w:rsidRPr="00BA1818">
                              <w:rPr>
                                <w:lang w:val="es-ES"/>
                              </w:rPr>
                              <w:t>Los resultados de la prueba STAAR 2023 indican que el 14 % de los estudiantes que tomaron la prueba de lectura STAAR obtuvo una puntuación de nivel de aproximación y el 3 % de nivel de cumplimiento. En matemáticas, el 70 % de los estudiantes obtuvo una puntuación de nivel de aproximación, el 23 % de nivel de cumplimiento y el 10 % de nivel de maestría.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245C0D" id="_x0000_s1027" type="#_x0000_t202" style="position:absolute;left:0;text-align:left;margin-left:-51.7pt;margin-top:96.55pt;width:576.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">
                <v:textbox style="mso-fit-shape-to-text:t">
                  <w:txbxContent>
                    <w:p w14:paraId="1F43EA11" w14:textId="67E82293" w:rsidR="00BA1818" w:rsidRPr="00BA1818" w:rsidRDefault="00BA1818" w:rsidP="00BA1818">
                      <w:pPr>
                        <w:rPr>
                          <w:lang w:val="es-ES"/>
                        </w:rPr>
                      </w:pPr>
                      <w:r w:rsidRPr="00BA1818">
                        <w:rPr>
                          <w:lang w:val="es-ES"/>
                        </w:rPr>
                        <w:t>Necesidades relacionadas con los datos de rendimiento estudiantil.</w:t>
                      </w:r>
                    </w:p>
                    <w:p w14:paraId="0B7761E0" w14:textId="77777777" w:rsidR="00BA1818" w:rsidRPr="00BA1818" w:rsidRDefault="00BA1818" w:rsidP="00BA1818">
                      <w:pPr>
                        <w:rPr>
                          <w:lang w:val="es-ES"/>
                        </w:rPr>
                      </w:pPr>
                      <w:r w:rsidRPr="00BA1818">
                        <w:rPr>
                          <w:lang w:val="es-ES"/>
                        </w:rPr>
                        <w:t>- Los estudiantes bilingües emergentes representan el 96% de la población estudiantil en la Preparatoria Liberty, y el 64% está clasificado como recién llegados.</w:t>
                      </w:r>
                    </w:p>
                    <w:p w14:paraId="7DF27DBA" w14:textId="77777777" w:rsidR="00BA1818" w:rsidRPr="00BA1818" w:rsidRDefault="00BA1818" w:rsidP="00BA1818">
                      <w:pPr>
                        <w:rPr>
                          <w:lang w:val="es-ES"/>
                        </w:rPr>
                      </w:pPr>
                      <w:r w:rsidRPr="00BA1818">
                        <w:rPr>
                          <w:lang w:val="es-ES"/>
                        </w:rPr>
                        <w:t>- El 98% de los estudiantes de la Preparatoria Liberty están clasificados como en riesgo, según la definición de la Agencia de Educación de Texas.</w:t>
                      </w:r>
                    </w:p>
                    <w:p w14:paraId="5ACE40FB" w14:textId="77777777" w:rsidR="00BA1818" w:rsidRPr="00BA1818" w:rsidRDefault="00BA1818" w:rsidP="00BA1818">
                      <w:pPr>
                        <w:rPr>
                          <w:lang w:val="es-ES"/>
                        </w:rPr>
                      </w:pPr>
                      <w:r w:rsidRPr="00BA1818">
                        <w:rPr>
                          <w:lang w:val="es-ES"/>
                        </w:rPr>
                        <w:t>- El 34% de la población estudiantil trabaja a tiempo completo durante el día y solo puede asistir a clases por la noche.</w:t>
                      </w:r>
                    </w:p>
                    <w:p w14:paraId="359FB321" w14:textId="77777777" w:rsidR="00BA1818" w:rsidRPr="00BA1818" w:rsidRDefault="00BA1818" w:rsidP="00BA1818">
                      <w:pPr>
                        <w:rPr>
                          <w:lang w:val="es-ES"/>
                        </w:rPr>
                      </w:pPr>
                      <w:r w:rsidRPr="00BA1818">
                        <w:rPr>
                          <w:lang w:val="es-ES"/>
                        </w:rPr>
                        <w:t>- Al inscribirse, más del 80% de los estudiantes de la Preparatoria Liberty, tanto diurnos como nocturnos, comienzan en una escuela estadounidense por primera vez y deben cumplir con los mismos requisitos que los estudiantes graduados que han asistido a una escuela estadounidense desde la primaria. Estos requisitos incluyen completar 26 créditos y aprobar las evaluaciones STAAR de Texas.</w:t>
                      </w:r>
                    </w:p>
                    <w:p w14:paraId="30B1D3D6" w14:textId="77777777" w:rsidR="00BA1818" w:rsidRDefault="00BA1818" w:rsidP="00BA1818">
                      <w:pPr>
                        <w:rPr>
                          <w:lang w:val="es-ES"/>
                        </w:rPr>
                      </w:pPr>
                      <w:r w:rsidRPr="00BA1818">
                        <w:rPr>
                          <w:lang w:val="es-ES"/>
                        </w:rPr>
                        <w:t xml:space="preserve">- Dadas las tendencias de rendimiento de los últimos tres años, los estudiantes bilingües emergentes de la Preparatoria Liberty están mostrando una mejora en el nivel de aproximación, pero se necesita más mejora para aumentar el número de estudiantes con EB que se desempeñan en los niveles de cumplimiento y dominio. </w:t>
                      </w:r>
                    </w:p>
                    <w:p w14:paraId="1F872C46" w14:textId="510B1BA1" w:rsidR="00BA1818" w:rsidRPr="00BA1818" w:rsidRDefault="00BA1818" w:rsidP="00BA1818">
                      <w:pPr>
                        <w:rPr>
                          <w:lang w:val="es-ES"/>
                        </w:rPr>
                      </w:pPr>
                      <w:r>
                        <w:rPr>
                          <w:lang w:val="es-ES"/>
                        </w:rPr>
                        <w:t>-</w:t>
                      </w:r>
                      <w:r w:rsidRPr="00BA1818">
                        <w:rPr>
                          <w:lang w:val="es-ES"/>
                        </w:rPr>
                        <w:t>El 45 % de los estudiantes del grupo de responsabilidad del campus mejoró un nivel o más en el TELPAS, superando el estándar estatal del 36 %.</w:t>
                      </w:r>
                    </w:p>
                    <w:p w14:paraId="45706569" w14:textId="132A18EE" w:rsidR="00BA1818" w:rsidRPr="00BA1818" w:rsidRDefault="00BA1818" w:rsidP="00BA1818">
                      <w:pPr>
                        <w:rPr>
                          <w:lang w:val="es-ES"/>
                        </w:rPr>
                      </w:pPr>
                      <w:r>
                        <w:rPr>
                          <w:lang w:val="es-ES"/>
                        </w:rPr>
                        <w:t>-</w:t>
                      </w:r>
                      <w:r w:rsidRPr="00BA1818">
                        <w:rPr>
                          <w:lang w:val="es-ES"/>
                        </w:rPr>
                        <w:t>El campus tiene un estudiante de educación especial identificado.</w:t>
                      </w:r>
                    </w:p>
                    <w:p w14:paraId="38A5AFCC" w14:textId="130B7433" w:rsidR="00BA1818" w:rsidRPr="00BA1818" w:rsidRDefault="00BA1818" w:rsidP="00BA1818">
                      <w:pPr>
                        <w:rPr>
                          <w:lang w:val="es-MX"/>
                        </w:rPr>
                      </w:pPr>
                      <w:r>
                        <w:rPr>
                          <w:lang w:val="es-ES"/>
                        </w:rPr>
                        <w:t>-</w:t>
                      </w:r>
                      <w:r w:rsidRPr="00BA1818">
                        <w:rPr>
                          <w:lang w:val="es-ES"/>
                        </w:rPr>
                        <w:t>Los resultados de la prueba STAAR 2023 indican que el 14 % de los estudiantes que tomaron la prueba de lectura STAAR obtuvo una puntuación de nivel de aproximación y el 3 % de nivel de cumplimiento. En matemáticas, el 70 % de los estudiantes obtuvo una puntuación de nivel de aproximación, el 23 % de nivel de cumplimiento y el 10 % de nivel de maestría.</w:t>
                      </w:r>
                    </w:p>
                  </w:txbxContent>
                </v:textbox>
                <w10:wrap type="square"/>
              </v:shape>
            </w:pict>
          </mc:Fallback>
        </mc:AlternateContent>
      </w:r>
      <w:r w:rsidRPr="00BA1818">
        <w:rPr>
          <w:b/>
          <w:bCs/>
          <w:noProof/>
          <w:sz w:val="32"/>
          <w:szCs w:val="32"/>
          <w:lang w:val="es-MX"/>
        </w:rPr>
        <mc:AlternateContent>
          <mc:Choice Requires="wps">
            <w:drawing>
              <wp:anchor distT="45720" distB="45720" distL="114300" distR="114300" simplePos="0" relativeHeight="251659264" behindDoc="0" locked="0" layoutInCell="1" allowOverlap="1" wp14:anchorId="6C32B688" wp14:editId="4121377E">
                <wp:simplePos x="0" y="0"/>
                <wp:positionH relativeFrom="column">
                  <wp:posOffset>0</wp:posOffset>
                </wp:positionH>
                <wp:positionV relativeFrom="paragraph">
                  <wp:posOffset>363220</wp:posOffset>
                </wp:positionV>
                <wp:extent cx="5685155" cy="605155"/>
                <wp:effectExtent l="0" t="0" r="1079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605155"/>
                        </a:xfrm>
                        <a:prstGeom prst="rect">
                          <a:avLst/>
                        </a:prstGeom>
                        <a:solidFill>
                          <a:srgbClr val="FFFFFF"/>
                        </a:solidFill>
                        <a:ln w="9525">
                          <a:solidFill>
                            <a:srgbClr val="000000"/>
                          </a:solidFill>
                          <a:miter lim="800000"/>
                          <a:headEnd/>
                          <a:tailEnd/>
                        </a:ln>
                      </wps:spPr>
                      <wps:txbx>
                        <w:txbxContent>
                          <w:p w14:paraId="354D17A4" w14:textId="5851EE4A" w:rsidR="00BA1818" w:rsidRPr="00BA1818" w:rsidRDefault="00BA1818" w:rsidP="00BA1818">
                            <w:pPr>
                              <w:rPr>
                                <w:lang w:val="es-MX"/>
                              </w:rPr>
                            </w:pPr>
                            <w:r w:rsidRPr="00BA1818">
                              <w:rPr>
                                <w:lang w:val="es-ES"/>
                              </w:rPr>
                              <w:t>Filosofía distrital y marco rector:</w:t>
                            </w:r>
                          </w:p>
                          <w:p w14:paraId="6D256E4D" w14:textId="591A12D9" w:rsidR="00BA1818" w:rsidRPr="00BA1818" w:rsidRDefault="00BA1818">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2B688" id="_x0000_s1028" type="#_x0000_t202" style="position:absolute;left:0;text-align:left;margin-left:0;margin-top:28.6pt;width:447.65pt;height:4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">
                <v:textbox>
                  <w:txbxContent>
                    <w:p w14:paraId="354D17A4" w14:textId="5851EE4A" w:rsidR="00BA1818" w:rsidRPr="00BA1818" w:rsidRDefault="00BA1818" w:rsidP="00BA1818">
                      <w:pPr>
                        <w:rPr>
                          <w:lang w:val="es-MX"/>
                        </w:rPr>
                      </w:pPr>
                      <w:r w:rsidRPr="00BA1818">
                        <w:rPr>
                          <w:lang w:val="es-ES"/>
                        </w:rPr>
                        <w:t>Filosofía distrital y marco rector:</w:t>
                      </w:r>
                    </w:p>
                    <w:p w14:paraId="6D256E4D" w14:textId="591A12D9" w:rsidR="00BA1818" w:rsidRPr="00BA1818" w:rsidRDefault="00BA1818">
                      <w:pPr>
                        <w:rPr>
                          <w:lang w:val="es-MX"/>
                        </w:rPr>
                      </w:pPr>
                    </w:p>
                  </w:txbxContent>
                </v:textbox>
                <w10:wrap type="square"/>
              </v:shape>
            </w:pict>
          </mc:Fallback>
        </mc:AlternateContent>
      </w:r>
      <w:r w:rsidRPr="00BA1818">
        <w:rPr>
          <w:b/>
          <w:bCs/>
          <w:sz w:val="32"/>
          <w:szCs w:val="32"/>
          <w:lang w:val="es-ES"/>
        </w:rPr>
        <w:t>Plan de Acción Escolar – Evaluación de Necesidades</w:t>
      </w:r>
    </w:p>
    <w:p w14:paraId="48CA12C7" w14:textId="4C72039E" w:rsidR="00AD74C1" w:rsidRDefault="00AD74C1" w:rsidP="00BA1818">
      <w:pPr>
        <w:jc w:val="center"/>
        <w:rPr>
          <w:b/>
          <w:bCs/>
          <w:lang w:val="es-MX"/>
        </w:rPr>
      </w:pPr>
      <w:r w:rsidRPr="00BA1818">
        <w:rPr>
          <w:b/>
          <w:bCs/>
          <w:noProof/>
          <w:lang w:val="es-MX"/>
        </w:rPr>
        <w:lastRenderedPageBreak/>
        <mc:AlternateContent>
          <mc:Choice Requires="wps">
            <w:drawing>
              <wp:anchor distT="45720" distB="45720" distL="114300" distR="114300" simplePos="0" relativeHeight="251665408" behindDoc="0" locked="0" layoutInCell="1" allowOverlap="1" wp14:anchorId="7687A546" wp14:editId="0F34A5C9">
                <wp:simplePos x="0" y="0"/>
                <wp:positionH relativeFrom="column">
                  <wp:posOffset>-527832</wp:posOffset>
                </wp:positionH>
                <wp:positionV relativeFrom="paragraph">
                  <wp:posOffset>300208</wp:posOffset>
                </wp:positionV>
                <wp:extent cx="7033260" cy="1404620"/>
                <wp:effectExtent l="0" t="0" r="15240" b="24765"/>
                <wp:wrapSquare wrapText="bothSides"/>
                <wp:docPr id="1098337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1404620"/>
                        </a:xfrm>
                        <a:prstGeom prst="rect">
                          <a:avLst/>
                        </a:prstGeom>
                        <a:solidFill>
                          <a:srgbClr val="FFFFFF"/>
                        </a:solidFill>
                        <a:ln w="9525">
                          <a:solidFill>
                            <a:srgbClr val="000000"/>
                          </a:solidFill>
                          <a:miter lim="800000"/>
                          <a:headEnd/>
                          <a:tailEnd/>
                        </a:ln>
                      </wps:spPr>
                      <wps:txbx>
                        <w:txbxContent>
                          <w:p w14:paraId="34D476BC" w14:textId="316B04FF" w:rsidR="00BA1818" w:rsidRPr="00451CCA" w:rsidRDefault="00BA1818" w:rsidP="00BA1818">
                            <w:pPr>
                              <w:rPr>
                                <w:b/>
                                <w:bCs/>
                                <w:lang w:val="es-ES"/>
                              </w:rPr>
                            </w:pPr>
                            <w:r w:rsidRPr="00451CCA">
                              <w:rPr>
                                <w:b/>
                                <w:bCs/>
                                <w:sz w:val="28"/>
                                <w:szCs w:val="28"/>
                                <w:lang w:val="es-ES"/>
                              </w:rPr>
                              <w:t xml:space="preserve">Evaluación del sistema </w:t>
                            </w:r>
                            <w:r w:rsidRPr="00451CCA">
                              <w:rPr>
                                <w:sz w:val="28"/>
                                <w:szCs w:val="28"/>
                                <w:lang w:val="es-ES"/>
                              </w:rPr>
                              <w:t>(filosofía, procesos, implementación, capacidad)</w:t>
                            </w:r>
                          </w:p>
                          <w:p w14:paraId="55DBE21D" w14:textId="77777777" w:rsidR="00BA1818" w:rsidRPr="00BA1818" w:rsidRDefault="00BA1818" w:rsidP="00BA1818">
                            <w:pPr>
                              <w:rPr>
                                <w:lang w:val="es-ES"/>
                              </w:rPr>
                            </w:pPr>
                          </w:p>
                          <w:p w14:paraId="6F7E47E0" w14:textId="77777777" w:rsidR="00BA1818" w:rsidRPr="00BA1818" w:rsidRDefault="00BA1818" w:rsidP="00BA1818">
                            <w:pPr>
                              <w:rPr>
                                <w:lang w:val="es-ES"/>
                              </w:rPr>
                            </w:pPr>
                            <w:r w:rsidRPr="00BA1818">
                              <w:rPr>
                                <w:lang w:val="es-ES"/>
                              </w:rPr>
                              <w:t>Misión y filosofía educativa</w:t>
                            </w:r>
                          </w:p>
                          <w:p w14:paraId="5A98584E" w14:textId="77777777" w:rsidR="00BA1818" w:rsidRPr="00BA1818" w:rsidRDefault="00BA1818" w:rsidP="00BA1818">
                            <w:pPr>
                              <w:rPr>
                                <w:lang w:val="es-ES"/>
                              </w:rPr>
                            </w:pPr>
                            <w:r w:rsidRPr="00BA1818">
                              <w:rPr>
                                <w:lang w:val="es-ES"/>
                              </w:rPr>
                              <w:t>La misión de nuestra escuela es brindar a los jóvenes estudiantes de inglés un entorno donde desarrollarán las habilidades lingüísticas y cognitivas necesarias para el éxito en la preparatoria, la universidad y más allá.</w:t>
                            </w:r>
                          </w:p>
                          <w:p w14:paraId="0B8C1FD2" w14:textId="2E9BBA13" w:rsidR="00BA1818" w:rsidRPr="00451CCA" w:rsidRDefault="00BA1818" w:rsidP="00BA1818">
                            <w:pPr>
                              <w:rPr>
                                <w:lang w:val="es-MX"/>
                              </w:rPr>
                            </w:pPr>
                            <w:r w:rsidRPr="00BA1818">
                              <w:rPr>
                                <w:lang w:val="es-ES"/>
                              </w:rPr>
                              <w:t>Los programas de la Preparatoria Liberty están alineados con la misión y la visión de nuestra escuela. Desde sus inicios, la Preparatoria Liberty ha reconocido el papel esencial que la instrucción explícita de las habilidades de lectoescritura desempeña en los resultados académicos de nuestros estudiantes. Por esta razón, todos nuestros maestros no solo conocen bien el contenido, sino que también están capacitados en el uso de estrategias de lectoescritura para estudiantes bilingües emergentes que desarrollan sus habilidades de escritura, habla, lectura y comprensión auditiva. Dado que nuestro alumnado aporta diversas necesidades únicas al entorno de aprendizaje, el personal de Liberty busca constantemente maneras de responder a sus necesidades de aprendizaje y socioemocionales, ofreciendo diversos tipos de apoyo. Nuestro programa académico está estructurado para integrar la instrucción de contenido con el desarrollo explícito del inglés en las áreas de habla, escucha, escritura y lectura. En cada área temática, se espera que los estudiantes aprendan contenido específico de la materia y trabajen en la construcción de su competencia en el idioma inglés todos los días.</w:t>
                            </w:r>
                            <w:r w:rsidRPr="00BA1818">
                              <w:rPr>
                                <w:rFonts w:ascii="inherit" w:eastAsia="Times New Roman" w:hAnsi="inherit" w:cs="Courier New"/>
                                <w:color w:val="1F1F1F"/>
                                <w:kern w:val="0"/>
                                <w:sz w:val="42"/>
                                <w:szCs w:val="42"/>
                                <w:lang w:val="es-ES"/>
                                <w14:ligatures w14:val="none"/>
                              </w:rPr>
                              <w:t xml:space="preserve"> </w:t>
                            </w:r>
                            <w:r w:rsidRPr="00BA1818">
                              <w:rPr>
                                <w:lang w:val="es-ES"/>
                              </w:rPr>
                              <w:t>Los administradores, el asesor de alfabetización del campus y los líderes docentes trabajan con el profesorado para diseñar el currículo de cada curso impartido en un año escolar. A su vez, los docentes identifican las áreas clave de enfoque, la profundidad necesaria para cubrir estándares específicos, aplican estrategias para diferenciar la instrucción y determinan el ritmo según el tiempo disponible para cubrir los TEKS. Para lograr esto, los instructores planifican durante el tiempo de planificación común y utilizan los recursos curriculares del Sistema de Gestión del Aprendizaje (</w:t>
                            </w:r>
                            <w:proofErr w:type="spellStart"/>
                            <w:r w:rsidRPr="00BA1818">
                              <w:rPr>
                                <w:lang w:val="es-ES"/>
                              </w:rPr>
                              <w:t>Canvas</w:t>
                            </w:r>
                            <w:proofErr w:type="spellEnd"/>
                            <w:r w:rsidRPr="00BA1818">
                              <w:rPr>
                                <w:lang w:val="es-ES"/>
                              </w:rPr>
                              <w:t>) de HISD. Todos nuestros estudiantes participan en nuestro programa de apoyo, que consideramos un componente clave de nuestro programa académico en la Escuela Preparatoria Liberty. En las clases de apoyo, a cada estudiante se le asigna un adulto responsable, miembro del personal docente. Los estudiantes se reúnen con su asesor dos veces por semana para hablar sobre temas relevantes, desde la gestión del tiempo y el desarrollo de su plan de graduación hasta la conciliación exitosa de la familia y la educación.</w:t>
                            </w:r>
                          </w:p>
                          <w:p w14:paraId="43F1AAF1" w14:textId="77777777" w:rsidR="00451CCA" w:rsidRPr="00451CCA" w:rsidRDefault="00451CCA" w:rsidP="00451CCA">
                            <w:pPr>
                              <w:rPr>
                                <w:lang w:val="es-MX"/>
                              </w:rPr>
                            </w:pPr>
                            <w:r w:rsidRPr="00451CCA">
                              <w:rPr>
                                <w:lang w:val="es-ES"/>
                              </w:rPr>
                              <w:t>El éxito de nuestros sistemas de apoyo académico y social estudiantil depende no solo de una planificación minuciosa, sino también de una implementación consistente y una evaluación frecuente. Para maximizar las posibilidades de éxito en el logro de nuestros planes y metas este próximo año escolar, cada estrategia y programa se revisará periódicamente (en cada ciclo de calificaciones) para determinar si está impulsando el aprendizaje estudiantil hacia los resultados esperados. Nuestra escuela utilizará una plantilla común de plan de unidad y lección que contiene los elementos esenciales de planificación para una instrucción eficaz para nuestro alumnado. Se ha establecido un sistema común de ponderación de calificaciones para garantizar que las prácticas de calificación sean coherentes con la misión y los objetivos de nuestra escuela. Las observaciones en el aula, las demostraciones diarias de aprendizaje y los resultados de los puntos de referencia ayudarán a medir nuestro progreso a lo largo del año escolar.</w:t>
                            </w:r>
                          </w:p>
                          <w:p w14:paraId="218092F6" w14:textId="19AD762F" w:rsidR="00BA1818" w:rsidRDefault="00BA1818" w:rsidP="00BA1818">
                            <w:pPr>
                              <w:rPr>
                                <w:lang w:val="es-MX"/>
                              </w:rPr>
                            </w:pPr>
                          </w:p>
                          <w:p w14:paraId="1C48DE23" w14:textId="77777777" w:rsidR="00AD74C1" w:rsidRDefault="00AD74C1" w:rsidP="00BA1818">
                            <w:pPr>
                              <w:rPr>
                                <w:lang w:val="es-MX"/>
                              </w:rPr>
                            </w:pPr>
                          </w:p>
                          <w:p w14:paraId="3DC6BFCB" w14:textId="77777777" w:rsidR="00AD74C1" w:rsidRDefault="00AD74C1" w:rsidP="00BA1818">
                            <w:pPr>
                              <w:rPr>
                                <w:lang w:val="es-MX"/>
                              </w:rPr>
                            </w:pPr>
                          </w:p>
                          <w:p w14:paraId="20CF8F32" w14:textId="77777777" w:rsidR="00AD74C1" w:rsidRPr="00BA1818" w:rsidRDefault="00AD74C1" w:rsidP="00BA1818">
                            <w:pPr>
                              <w:rPr>
                                <w:lang w:val="es-MX"/>
                              </w:rPr>
                            </w:pPr>
                          </w:p>
                          <w:p w14:paraId="188ACA4C" w14:textId="4AFB9AB6" w:rsidR="00BA1818" w:rsidRPr="00BA1818" w:rsidRDefault="00BA1818">
                            <w:pPr>
                              <w:rPr>
                                <w:lang w:val="es-MX"/>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7A546" id="_x0000_s1029" type="#_x0000_t202" style="position:absolute;left:0;text-align:left;margin-left:-41.55pt;margin-top:23.65pt;width:553.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">
                <v:textbox style="mso-fit-shape-to-text:t">
                  <w:txbxContent>
                    <w:p w14:paraId="34D476BC" w14:textId="316B04FF" w:rsidR="00BA1818" w:rsidRPr="00451CCA" w:rsidRDefault="00BA1818" w:rsidP="00BA1818">
                      <w:pPr>
                        <w:rPr>
                          <w:b/>
                          <w:bCs/>
                          <w:lang w:val="es-ES"/>
                        </w:rPr>
                      </w:pPr>
                      <w:r w:rsidRPr="00451CCA">
                        <w:rPr>
                          <w:b/>
                          <w:bCs/>
                          <w:sz w:val="28"/>
                          <w:szCs w:val="28"/>
                          <w:lang w:val="es-ES"/>
                        </w:rPr>
                        <w:t xml:space="preserve">Evaluación del sistema </w:t>
                      </w:r>
                      <w:r w:rsidRPr="00451CCA">
                        <w:rPr>
                          <w:sz w:val="28"/>
                          <w:szCs w:val="28"/>
                          <w:lang w:val="es-ES"/>
                        </w:rPr>
                        <w:t>(filosofía, procesos, implementación, capacidad)</w:t>
                      </w:r>
                    </w:p>
                    <w:p w14:paraId="55DBE21D" w14:textId="77777777" w:rsidR="00BA1818" w:rsidRPr="00BA1818" w:rsidRDefault="00BA1818" w:rsidP="00BA1818">
                      <w:pPr>
                        <w:rPr>
                          <w:lang w:val="es-ES"/>
                        </w:rPr>
                      </w:pPr>
                    </w:p>
                    <w:p w14:paraId="6F7E47E0" w14:textId="77777777" w:rsidR="00BA1818" w:rsidRPr="00BA1818" w:rsidRDefault="00BA1818" w:rsidP="00BA1818">
                      <w:pPr>
                        <w:rPr>
                          <w:lang w:val="es-ES"/>
                        </w:rPr>
                      </w:pPr>
                      <w:r w:rsidRPr="00BA1818">
                        <w:rPr>
                          <w:lang w:val="es-ES"/>
                        </w:rPr>
                        <w:t>Misión y filosofía educativa</w:t>
                      </w:r>
                    </w:p>
                    <w:p w14:paraId="5A98584E" w14:textId="77777777" w:rsidR="00BA1818" w:rsidRPr="00BA1818" w:rsidRDefault="00BA1818" w:rsidP="00BA1818">
                      <w:pPr>
                        <w:rPr>
                          <w:lang w:val="es-ES"/>
                        </w:rPr>
                      </w:pPr>
                      <w:r w:rsidRPr="00BA1818">
                        <w:rPr>
                          <w:lang w:val="es-ES"/>
                        </w:rPr>
                        <w:t>La misión de nuestra escuela es brindar a los jóvenes estudiantes de inglés un entorno donde desarrollarán las habilidades lingüísticas y cognitivas necesarias para el éxito en la preparatoria, la universidad y más allá.</w:t>
                      </w:r>
                    </w:p>
                    <w:p w14:paraId="0B8C1FD2" w14:textId="2E9BBA13" w:rsidR="00BA1818" w:rsidRPr="00451CCA" w:rsidRDefault="00BA1818" w:rsidP="00BA1818">
                      <w:pPr>
                        <w:rPr>
                          <w:lang w:val="es-MX"/>
                        </w:rPr>
                      </w:pPr>
                      <w:r w:rsidRPr="00BA1818">
                        <w:rPr>
                          <w:lang w:val="es-ES"/>
                        </w:rPr>
                        <w:t>Los programas de la Preparatoria Liberty están alineados con la misión y la visión de nuestra escuela. Desde sus inicios, la Preparatoria Liberty ha reconocido el papel esencial que la instrucción explícita de las habilidades de lectoescritura desempeña en los resultados académicos de nuestros estudiantes. Por esta razón, todos nuestros maestros no solo conocen bien el contenido, sino que también están capacitados en el uso de estrategias de lectoescritura para estudiantes bilingües emergentes que desarrollan sus habilidades de escritura, habla, lectura y comprensión auditiva. Dado que nuestro alumnado aporta diversas necesidades únicas al entorno de aprendizaje, el personal de Liberty busca constantemente maneras de responder a sus necesidades de aprendizaje y socioemocionales, ofreciendo diversos tipos de apoyo. Nuestro programa académico está estructurado para integrar la instrucción de contenido con el desarrollo explícito del inglés en las áreas de habla, escucha, escritura y lectura. En cada área temática, se espera que los estudiantes aprendan contenido específico de la materia y trabajen en la construcción de su competencia en el idioma inglés todos los días.</w:t>
                      </w:r>
                      <w:r w:rsidRPr="00BA1818">
                        <w:rPr>
                          <w:rFonts w:ascii="inherit" w:eastAsia="Times New Roman" w:hAnsi="inherit" w:cs="Courier New"/>
                          <w:color w:val="1F1F1F"/>
                          <w:kern w:val="0"/>
                          <w:sz w:val="42"/>
                          <w:szCs w:val="42"/>
                          <w:lang w:val="es-ES"/>
                          <w14:ligatures w14:val="none"/>
                        </w:rPr>
                        <w:t xml:space="preserve"> </w:t>
                      </w:r>
                      <w:r w:rsidRPr="00BA1818">
                        <w:rPr>
                          <w:lang w:val="es-ES"/>
                        </w:rPr>
                        <w:t>Los administradores, el asesor de alfabetización del campus y los líderes docentes trabajan con el profesorado para diseñar el currículo de cada curso impartido en un año escolar. A su vez, los docentes identifican las áreas clave de enfoque, la profundidad necesaria para cubrir estándares específicos, aplican estrategias para diferenciar la instrucción y determinan el ritmo según el tiempo disponible para cubrir los TEKS. Para lograr esto, los instructores planifican durante el tiempo de planificación común y utilizan los recursos curriculares del Sistema de Gestión del Aprendizaje (</w:t>
                      </w:r>
                      <w:proofErr w:type="spellStart"/>
                      <w:r w:rsidRPr="00BA1818">
                        <w:rPr>
                          <w:lang w:val="es-ES"/>
                        </w:rPr>
                        <w:t>Canvas</w:t>
                      </w:r>
                      <w:proofErr w:type="spellEnd"/>
                      <w:r w:rsidRPr="00BA1818">
                        <w:rPr>
                          <w:lang w:val="es-ES"/>
                        </w:rPr>
                        <w:t>) de HISD. Todos nuestros estudiantes participan en nuestro programa de apoyo, que consideramos un componente clave de nuestro programa académico en la Escuela Preparatoria Liberty. En las clases de apoyo, a cada estudiante se le asigna un adulto responsable, miembro del personal docente. Los estudiantes se reúnen con su asesor dos veces por semana para hablar sobre temas relevantes, desde la gestión del tiempo y el desarrollo de su plan de graduación hasta la conciliación exitosa de la familia y la educación.</w:t>
                      </w:r>
                    </w:p>
                    <w:p w14:paraId="43F1AAF1" w14:textId="77777777" w:rsidR="00451CCA" w:rsidRPr="00451CCA" w:rsidRDefault="00451CCA" w:rsidP="00451CCA">
                      <w:pPr>
                        <w:rPr>
                          <w:lang w:val="es-MX"/>
                        </w:rPr>
                      </w:pPr>
                      <w:r w:rsidRPr="00451CCA">
                        <w:rPr>
                          <w:lang w:val="es-ES"/>
                        </w:rPr>
                        <w:t>El éxito de nuestros sistemas de apoyo académico y social estudiantil depende no solo de una planificación minuciosa, sino también de una implementación consistente y una evaluación frecuente. Para maximizar las posibilidades de éxito en el logro de nuestros planes y metas este próximo año escolar, cada estrategia y programa se revisará periódicamente (en cada ciclo de calificaciones) para determinar si está impulsando el aprendizaje estudiantil hacia los resultados esperados. Nuestra escuela utilizará una plantilla común de plan de unidad y lección que contiene los elementos esenciales de planificación para una instrucción eficaz para nuestro alumnado. Se ha establecido un sistema común de ponderación de calificaciones para garantizar que las prácticas de calificación sean coherentes con la misión y los objetivos de nuestra escuela. Las observaciones en el aula, las demostraciones diarias de aprendizaje y los resultados de los puntos de referencia ayudarán a medir nuestro progreso a lo largo del año escolar.</w:t>
                      </w:r>
                    </w:p>
                    <w:p w14:paraId="218092F6" w14:textId="19AD762F" w:rsidR="00BA1818" w:rsidRDefault="00BA1818" w:rsidP="00BA1818">
                      <w:pPr>
                        <w:rPr>
                          <w:lang w:val="es-MX"/>
                        </w:rPr>
                      </w:pPr>
                    </w:p>
                    <w:p w14:paraId="1C48DE23" w14:textId="77777777" w:rsidR="00AD74C1" w:rsidRDefault="00AD74C1" w:rsidP="00BA1818">
                      <w:pPr>
                        <w:rPr>
                          <w:lang w:val="es-MX"/>
                        </w:rPr>
                      </w:pPr>
                    </w:p>
                    <w:p w14:paraId="3DC6BFCB" w14:textId="77777777" w:rsidR="00AD74C1" w:rsidRDefault="00AD74C1" w:rsidP="00BA1818">
                      <w:pPr>
                        <w:rPr>
                          <w:lang w:val="es-MX"/>
                        </w:rPr>
                      </w:pPr>
                    </w:p>
                    <w:p w14:paraId="20CF8F32" w14:textId="77777777" w:rsidR="00AD74C1" w:rsidRPr="00BA1818" w:rsidRDefault="00AD74C1" w:rsidP="00BA1818">
                      <w:pPr>
                        <w:rPr>
                          <w:lang w:val="es-MX"/>
                        </w:rPr>
                      </w:pPr>
                    </w:p>
                    <w:p w14:paraId="188ACA4C" w14:textId="4AFB9AB6" w:rsidR="00BA1818" w:rsidRPr="00BA1818" w:rsidRDefault="00BA1818">
                      <w:pPr>
                        <w:rPr>
                          <w:lang w:val="es-MX"/>
                        </w:rPr>
                      </w:pPr>
                    </w:p>
                  </w:txbxContent>
                </v:textbox>
                <w10:wrap type="square"/>
              </v:shape>
            </w:pict>
          </mc:Fallback>
        </mc:AlternateContent>
      </w:r>
    </w:p>
    <w:p w14:paraId="1201340E" w14:textId="19135AA4" w:rsidR="00AD74C1" w:rsidRDefault="00AD74C1" w:rsidP="00BA1818">
      <w:pPr>
        <w:jc w:val="center"/>
        <w:rPr>
          <w:b/>
          <w:bCs/>
          <w:lang w:val="es-MX"/>
        </w:rPr>
      </w:pPr>
    </w:p>
    <w:p w14:paraId="7400B767" w14:textId="77777777" w:rsidR="00AD74C1" w:rsidRDefault="00AD74C1" w:rsidP="00BA1818">
      <w:pPr>
        <w:jc w:val="center"/>
        <w:rPr>
          <w:b/>
          <w:bCs/>
          <w:lang w:val="es-MX"/>
        </w:rPr>
      </w:pPr>
    </w:p>
    <w:p w14:paraId="5297BC55" w14:textId="77777777" w:rsidR="00AD74C1" w:rsidRDefault="00AD74C1" w:rsidP="00BA1818">
      <w:pPr>
        <w:jc w:val="center"/>
        <w:rPr>
          <w:b/>
          <w:bCs/>
          <w:lang w:val="es-MX"/>
        </w:rPr>
      </w:pPr>
    </w:p>
    <w:p w14:paraId="7D4550BF" w14:textId="77777777" w:rsidR="00C4740F" w:rsidRDefault="00C4740F" w:rsidP="00BA1818">
      <w:pPr>
        <w:jc w:val="center"/>
        <w:rPr>
          <w:b/>
          <w:bCs/>
          <w:lang w:val="es-MX"/>
        </w:rPr>
      </w:pPr>
    </w:p>
    <w:p w14:paraId="5BCE62D4" w14:textId="77777777" w:rsidR="00C4740F" w:rsidRDefault="00C4740F" w:rsidP="00BA1818">
      <w:pPr>
        <w:jc w:val="center"/>
        <w:rPr>
          <w:b/>
          <w:bCs/>
          <w:lang w:val="es-MX"/>
        </w:rPr>
      </w:pPr>
    </w:p>
    <w:p w14:paraId="62AF1E20" w14:textId="77777777" w:rsidR="00AD74C1" w:rsidRDefault="00AD74C1" w:rsidP="00BA1818">
      <w:pPr>
        <w:jc w:val="center"/>
        <w:rPr>
          <w:b/>
          <w:bCs/>
          <w:lang w:val="es-MX"/>
        </w:rPr>
      </w:pPr>
    </w:p>
    <w:p w14:paraId="397E59CE" w14:textId="77777777" w:rsidR="00AD74C1" w:rsidRDefault="00AD74C1" w:rsidP="00BA1818">
      <w:pPr>
        <w:jc w:val="center"/>
        <w:rPr>
          <w:b/>
          <w:bCs/>
          <w:lang w:val="es-MX"/>
        </w:rPr>
      </w:pPr>
    </w:p>
    <w:p w14:paraId="3E5585FD" w14:textId="77777777" w:rsidR="00C4740F" w:rsidRPr="00C4740F" w:rsidRDefault="00C4740F" w:rsidP="00C4740F">
      <w:pPr>
        <w:rPr>
          <w:b/>
          <w:bCs/>
          <w:sz w:val="28"/>
          <w:szCs w:val="28"/>
          <w:lang w:val="es-MX"/>
        </w:rPr>
      </w:pPr>
      <w:r w:rsidRPr="00C4740F">
        <w:rPr>
          <w:b/>
          <w:bCs/>
          <w:sz w:val="28"/>
          <w:szCs w:val="28"/>
          <w:lang w:val="es-ES"/>
        </w:rPr>
        <w:t>Plantilla de plan de acción escolar</w:t>
      </w:r>
    </w:p>
    <w:p w14:paraId="0514E57A" w14:textId="77777777" w:rsidR="00AD74C1" w:rsidRDefault="00AD74C1" w:rsidP="00C4740F">
      <w:pPr>
        <w:rPr>
          <w:b/>
          <w:bCs/>
          <w:lang w:val="es-MX"/>
        </w:rPr>
      </w:pPr>
    </w:p>
    <w:tbl>
      <w:tblPr>
        <w:tblW w:w="10876"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353"/>
      </w:tblGrid>
      <w:tr w:rsidR="00C4740F" w:rsidRPr="00C4740F" w14:paraId="3B570B88" w14:textId="77777777" w:rsidTr="00C4740F">
        <w:trPr>
          <w:trHeight w:val="1193"/>
        </w:trPr>
        <w:tc>
          <w:tcPr>
            <w:tcW w:w="523" w:type="dxa"/>
            <w:vMerge w:val="restart"/>
            <w:tcBorders>
              <w:bottom w:val="single" w:sz="24" w:space="0" w:color="000000"/>
            </w:tcBorders>
            <w:shd w:val="clear" w:color="auto" w:fill="00FF00"/>
            <w:textDirection w:val="btLr"/>
          </w:tcPr>
          <w:p w14:paraId="6D219761" w14:textId="77777777" w:rsidR="00C4740F" w:rsidRPr="00C4740F" w:rsidRDefault="00C4740F" w:rsidP="00C4740F">
            <w:pPr>
              <w:pStyle w:val="TableParagraph"/>
              <w:spacing w:before="109"/>
              <w:ind w:right="2"/>
              <w:jc w:val="center"/>
              <w:rPr>
                <w:b/>
                <w:sz w:val="32"/>
              </w:rPr>
            </w:pPr>
            <w:r w:rsidRPr="00C4740F">
              <w:rPr>
                <w:b/>
                <w:sz w:val="32"/>
                <w:lang w:val="es-ES"/>
              </w:rPr>
              <w:t>ACCIÓN CLAVE UNO</w:t>
            </w:r>
          </w:p>
          <w:p w14:paraId="51EA00BB" w14:textId="1C907693" w:rsidR="00C4740F" w:rsidRPr="00C4740F" w:rsidRDefault="00C4740F" w:rsidP="00672744">
            <w:pPr>
              <w:pStyle w:val="TableParagraph"/>
              <w:spacing w:before="109"/>
              <w:ind w:right="2"/>
              <w:jc w:val="center"/>
              <w:rPr>
                <w:b/>
                <w:sz w:val="32"/>
                <w:lang w:val="es-MX"/>
              </w:rPr>
            </w:pPr>
          </w:p>
        </w:tc>
        <w:tc>
          <w:tcPr>
            <w:tcW w:w="10353" w:type="dxa"/>
          </w:tcPr>
          <w:p w14:paraId="0A30E2DD" w14:textId="77777777" w:rsidR="00C4740F" w:rsidRPr="00C4740F" w:rsidRDefault="00C4740F" w:rsidP="00C4740F">
            <w:pPr>
              <w:pStyle w:val="TableParagraph"/>
              <w:spacing w:line="320" w:lineRule="exact"/>
              <w:ind w:left="105"/>
              <w:rPr>
                <w:b/>
                <w:szCs w:val="18"/>
                <w:lang w:val="es-ES"/>
              </w:rPr>
            </w:pPr>
            <w:r w:rsidRPr="00C4740F">
              <w:rPr>
                <w:b/>
                <w:szCs w:val="18"/>
                <w:lang w:val="es-ES"/>
              </w:rPr>
              <w:t xml:space="preserve">Acción clave </w:t>
            </w:r>
            <w:r w:rsidRPr="00C4740F">
              <w:rPr>
                <w:bCs/>
                <w:i/>
                <w:iCs/>
                <w:sz w:val="20"/>
                <w:szCs w:val="16"/>
                <w:lang w:val="es-ES"/>
              </w:rPr>
              <w:t>(Indique brevemente la meta u objetivo específico).</w:t>
            </w:r>
          </w:p>
          <w:p w14:paraId="107BEDB6" w14:textId="77777777" w:rsidR="00C4740F" w:rsidRPr="00C4740F" w:rsidRDefault="00C4740F" w:rsidP="00C4740F">
            <w:pPr>
              <w:pStyle w:val="TableParagraph"/>
              <w:spacing w:line="320" w:lineRule="exact"/>
              <w:ind w:left="105"/>
              <w:rPr>
                <w:b/>
                <w:i/>
                <w:iCs/>
                <w:szCs w:val="18"/>
                <w:lang w:val="es-MX"/>
              </w:rPr>
            </w:pPr>
            <w:r w:rsidRPr="00C4740F">
              <w:rPr>
                <w:b/>
                <w:i/>
                <w:iCs/>
                <w:szCs w:val="18"/>
                <w:lang w:val="es-ES"/>
              </w:rPr>
              <w:t>Abordar eficazmente las necesidades de instrucción y aprendizaje de poblaciones especiales, como estudiantes con discapacidades de aprendizaje y estudiantes bilingües emergentes, para que puedan acceder al currículo de su grado.</w:t>
            </w:r>
          </w:p>
          <w:p w14:paraId="1F7DE215" w14:textId="10C900D0" w:rsidR="00C4740F" w:rsidRPr="00C4740F" w:rsidRDefault="00C4740F" w:rsidP="00672744">
            <w:pPr>
              <w:pStyle w:val="TableParagraph"/>
              <w:spacing w:line="320" w:lineRule="exact"/>
              <w:ind w:left="105"/>
              <w:rPr>
                <w:i/>
                <w:sz w:val="20"/>
                <w:lang w:val="es-MX"/>
              </w:rPr>
            </w:pPr>
          </w:p>
        </w:tc>
      </w:tr>
      <w:tr w:rsidR="00C4740F" w:rsidRPr="00C4740F" w14:paraId="433C353B" w14:textId="77777777" w:rsidTr="00C4740F">
        <w:trPr>
          <w:trHeight w:val="413"/>
        </w:trPr>
        <w:tc>
          <w:tcPr>
            <w:tcW w:w="523" w:type="dxa"/>
            <w:vMerge/>
            <w:tcBorders>
              <w:top w:val="nil"/>
              <w:bottom w:val="single" w:sz="24" w:space="0" w:color="000000"/>
            </w:tcBorders>
            <w:shd w:val="clear" w:color="auto" w:fill="00FF00"/>
            <w:textDirection w:val="btLr"/>
          </w:tcPr>
          <w:p w14:paraId="15623A53" w14:textId="77777777" w:rsidR="00C4740F" w:rsidRPr="00C4740F" w:rsidRDefault="00C4740F" w:rsidP="00C4740F">
            <w:pPr>
              <w:rPr>
                <w:sz w:val="2"/>
                <w:szCs w:val="2"/>
                <w:lang w:val="es-MX"/>
              </w:rPr>
            </w:pPr>
          </w:p>
        </w:tc>
        <w:tc>
          <w:tcPr>
            <w:tcW w:w="10353" w:type="dxa"/>
            <w:tcBorders>
              <w:bottom w:val="nil"/>
            </w:tcBorders>
          </w:tcPr>
          <w:p w14:paraId="7464346D" w14:textId="04874F6E" w:rsidR="00C4740F" w:rsidRPr="00C4740F" w:rsidRDefault="00C4740F" w:rsidP="00C4740F">
            <w:pPr>
              <w:pStyle w:val="TableParagraph"/>
              <w:spacing w:line="295" w:lineRule="exact"/>
              <w:ind w:left="105"/>
              <w:rPr>
                <w:i/>
                <w:sz w:val="20"/>
                <w:lang w:val="es-MX"/>
              </w:rPr>
            </w:pPr>
            <w:r w:rsidRPr="000C1920">
              <w:rPr>
                <w:rStyle w:val="y2iqfc"/>
                <w:rFonts w:ascii="inherit" w:eastAsiaTheme="majorEastAsia" w:hAnsi="inherit"/>
                <w:color w:val="1F1F1F"/>
                <w:sz w:val="42"/>
                <w:szCs w:val="42"/>
                <w:lang w:val="es-ES"/>
              </w:rPr>
              <w:t>Indicadores de éxito (Resultados medibles que describen el éxito).</w:t>
            </w:r>
          </w:p>
        </w:tc>
      </w:tr>
      <w:tr w:rsidR="00C4740F" w:rsidRPr="00C4740F" w14:paraId="06D73C2C" w14:textId="77777777" w:rsidTr="00C4740F">
        <w:trPr>
          <w:trHeight w:val="706"/>
        </w:trPr>
        <w:tc>
          <w:tcPr>
            <w:tcW w:w="523" w:type="dxa"/>
            <w:vMerge/>
            <w:tcBorders>
              <w:top w:val="nil"/>
              <w:bottom w:val="single" w:sz="24" w:space="0" w:color="000000"/>
            </w:tcBorders>
            <w:shd w:val="clear" w:color="auto" w:fill="00FF00"/>
            <w:textDirection w:val="btLr"/>
          </w:tcPr>
          <w:p w14:paraId="77D2E72E" w14:textId="77777777" w:rsidR="00C4740F" w:rsidRPr="00C4740F" w:rsidRDefault="00C4740F" w:rsidP="00C4740F">
            <w:pPr>
              <w:rPr>
                <w:sz w:val="2"/>
                <w:szCs w:val="2"/>
                <w:lang w:val="es-MX"/>
              </w:rPr>
            </w:pPr>
          </w:p>
        </w:tc>
        <w:tc>
          <w:tcPr>
            <w:tcW w:w="10353" w:type="dxa"/>
            <w:tcBorders>
              <w:top w:val="nil"/>
              <w:bottom w:val="nil"/>
            </w:tcBorders>
          </w:tcPr>
          <w:p w14:paraId="70FBCC3D" w14:textId="2DA0BB9A" w:rsidR="00C4740F" w:rsidRPr="00C4740F" w:rsidRDefault="00C4740F" w:rsidP="00C4740F">
            <w:pPr>
              <w:pStyle w:val="ListParagraph"/>
              <w:widowControl w:val="0"/>
              <w:autoSpaceDE w:val="0"/>
              <w:autoSpaceDN w:val="0"/>
              <w:ind w:left="420"/>
              <w:contextualSpacing w:val="0"/>
              <w:rPr>
                <w:color w:val="000000" w:themeColor="text1"/>
                <w:sz w:val="28"/>
                <w:szCs w:val="28"/>
                <w:highlight w:val="yellow"/>
                <w:lang w:val="es-MX"/>
              </w:rPr>
            </w:pPr>
            <w:r w:rsidRPr="00C4740F">
              <w:rPr>
                <w:rStyle w:val="y2iqfc"/>
                <w:rFonts w:ascii="inherit" w:hAnsi="inherit"/>
                <w:color w:val="1F1F1F"/>
                <w:sz w:val="28"/>
                <w:szCs w:val="28"/>
                <w:highlight w:val="yellow"/>
                <w:lang w:val="es-ES"/>
              </w:rPr>
              <w:t>• Para octubre de 2024, de 20 observaciones puntuales realizadas por el equipo de liderazgo educativo del campus, al menos el 75 % del profesorado utilizará eficazmente actividades diferenciadas para abordar los distintos niveles de dominio del idioma y estrategias de andamiaje para acceder al contenido del grado, según lo medido en la sección "Participar y entregar" del formulario de Observación de Observación. El andamiaje apoyará a los estudiantes con actividades diarias de escritura, lectura, comprensión auditiva y expresión oral que fomentan el dominio del inglés y el contenido. Este porcentaje aumentará al 85 % para finales de febrero y al 100 % para junio de 2025.</w:t>
            </w:r>
          </w:p>
        </w:tc>
      </w:tr>
      <w:tr w:rsidR="00C4740F" w:rsidRPr="00C4740F" w14:paraId="40E603F4" w14:textId="77777777" w:rsidTr="00C4740F">
        <w:trPr>
          <w:trHeight w:val="854"/>
        </w:trPr>
        <w:tc>
          <w:tcPr>
            <w:tcW w:w="523" w:type="dxa"/>
            <w:vMerge/>
            <w:tcBorders>
              <w:top w:val="nil"/>
              <w:bottom w:val="single" w:sz="24" w:space="0" w:color="000000"/>
            </w:tcBorders>
            <w:shd w:val="clear" w:color="auto" w:fill="00FF00"/>
            <w:textDirection w:val="btLr"/>
          </w:tcPr>
          <w:p w14:paraId="0A2C08C7" w14:textId="77777777" w:rsidR="00C4740F" w:rsidRPr="00C4740F" w:rsidRDefault="00C4740F" w:rsidP="00C4740F">
            <w:pPr>
              <w:rPr>
                <w:sz w:val="2"/>
                <w:szCs w:val="2"/>
                <w:lang w:val="es-MX"/>
              </w:rPr>
            </w:pPr>
          </w:p>
        </w:tc>
        <w:tc>
          <w:tcPr>
            <w:tcW w:w="10353" w:type="dxa"/>
            <w:tcBorders>
              <w:top w:val="nil"/>
              <w:bottom w:val="nil"/>
            </w:tcBorders>
          </w:tcPr>
          <w:p w14:paraId="565974E3" w14:textId="4EAD9C6F" w:rsidR="00C4740F" w:rsidRPr="00C4740F" w:rsidRDefault="00C4740F" w:rsidP="00C4740F">
            <w:pPr>
              <w:pStyle w:val="TableParagraph"/>
              <w:spacing w:before="269"/>
              <w:ind w:left="420"/>
              <w:rPr>
                <w:color w:val="000000" w:themeColor="text1"/>
                <w:sz w:val="28"/>
                <w:szCs w:val="28"/>
                <w:lang w:val="es-MX"/>
              </w:rPr>
            </w:pPr>
            <w:r w:rsidRPr="00C4740F">
              <w:rPr>
                <w:rStyle w:val="y2iqfc"/>
                <w:rFonts w:ascii="inherit" w:eastAsiaTheme="majorEastAsia" w:hAnsi="inherit"/>
                <w:color w:val="1F1F1F"/>
                <w:sz w:val="28"/>
                <w:szCs w:val="28"/>
                <w:highlight w:val="yellow"/>
                <w:lang w:val="es-ES"/>
              </w:rPr>
              <w:t>• Del profesorado de la Escuela Preparatoria Liberty, el 80 % de las puntuaciones en el uso de MRS con andamiaje para facilitar el acceso al currículo de su grado serán competentes o superiores en las Observaciones de Observación de la sección "Monitorear y ajustar" del formulario SPOT, realizadas en octubre por la administración del campus. Ese porcentaje aumentará al 85% en febrero y al 98% en junio de 2025.</w:t>
            </w:r>
          </w:p>
        </w:tc>
      </w:tr>
      <w:tr w:rsidR="00C4740F" w:rsidRPr="00121353" w14:paraId="23511B96" w14:textId="77777777" w:rsidTr="00C4740F">
        <w:trPr>
          <w:trHeight w:val="1160"/>
        </w:trPr>
        <w:tc>
          <w:tcPr>
            <w:tcW w:w="523" w:type="dxa"/>
            <w:vMerge/>
            <w:tcBorders>
              <w:top w:val="nil"/>
              <w:bottom w:val="single" w:sz="24" w:space="0" w:color="000000"/>
            </w:tcBorders>
            <w:shd w:val="clear" w:color="auto" w:fill="00FF00"/>
            <w:textDirection w:val="btLr"/>
          </w:tcPr>
          <w:p w14:paraId="53327929" w14:textId="77777777" w:rsidR="00C4740F" w:rsidRPr="00C4740F" w:rsidRDefault="00C4740F" w:rsidP="00672744">
            <w:pPr>
              <w:rPr>
                <w:sz w:val="2"/>
                <w:szCs w:val="2"/>
                <w:lang w:val="es-MX"/>
              </w:rPr>
            </w:pPr>
          </w:p>
        </w:tc>
        <w:tc>
          <w:tcPr>
            <w:tcW w:w="10353" w:type="dxa"/>
            <w:tcBorders>
              <w:top w:val="nil"/>
            </w:tcBorders>
          </w:tcPr>
          <w:p w14:paraId="6F7CEE76" w14:textId="77777777" w:rsidR="00121353" w:rsidRPr="00121353" w:rsidRDefault="00121353" w:rsidP="00121353">
            <w:pPr>
              <w:pStyle w:val="TableParagraph"/>
              <w:numPr>
                <w:ilvl w:val="0"/>
                <w:numId w:val="2"/>
              </w:numPr>
              <w:spacing w:before="266"/>
              <w:ind w:hanging="46"/>
              <w:rPr>
                <w:spacing w:val="-10"/>
                <w:sz w:val="24"/>
                <w:szCs w:val="24"/>
                <w:lang w:val="es-MX"/>
              </w:rPr>
            </w:pPr>
            <w:r w:rsidRPr="00121353">
              <w:rPr>
                <w:spacing w:val="-10"/>
                <w:sz w:val="24"/>
                <w:szCs w:val="24"/>
                <w:lang w:val="es-ES"/>
              </w:rPr>
              <w:t>Para octubre de 2024, el 80 % del profesorado de la Escuela Preparatoria Liberty implementará eficazmente rutinas y procedimientos de clase que ayuden a los estudiantes bilingües emergentes, así como a los estudiantes con discapacidades, a participar en debates, escritura y prácticas de lectura que aceleren el aprendizaje del inglés. El porcentaje de profesores que implementan rutinas y procedimientos de clase eficazmente aumentará al 90 % para febrero y al 98 % para junio de 2024.</w:t>
            </w:r>
          </w:p>
          <w:p w14:paraId="01AD37D3" w14:textId="77777777" w:rsidR="00C4740F" w:rsidRDefault="00C4740F" w:rsidP="00C4740F">
            <w:pPr>
              <w:pStyle w:val="TableParagraph"/>
              <w:spacing w:before="266"/>
              <w:rPr>
                <w:sz w:val="24"/>
                <w:szCs w:val="24"/>
                <w:lang w:val="es-MX"/>
              </w:rPr>
            </w:pPr>
          </w:p>
          <w:p w14:paraId="4782F8BA" w14:textId="77777777" w:rsidR="00037562" w:rsidRDefault="00037562" w:rsidP="00C4740F">
            <w:pPr>
              <w:pStyle w:val="TableParagraph"/>
              <w:spacing w:before="266"/>
              <w:rPr>
                <w:sz w:val="24"/>
                <w:szCs w:val="24"/>
                <w:lang w:val="es-MX"/>
              </w:rPr>
            </w:pPr>
          </w:p>
          <w:p w14:paraId="62B5018A" w14:textId="77777777" w:rsidR="00037562" w:rsidRDefault="00037562" w:rsidP="00C4740F">
            <w:pPr>
              <w:pStyle w:val="TableParagraph"/>
              <w:spacing w:before="266"/>
              <w:rPr>
                <w:sz w:val="24"/>
                <w:szCs w:val="24"/>
                <w:lang w:val="es-MX"/>
              </w:rPr>
            </w:pPr>
          </w:p>
          <w:p w14:paraId="5492101B" w14:textId="77777777" w:rsidR="00037562" w:rsidRDefault="00037562" w:rsidP="00C4740F">
            <w:pPr>
              <w:pStyle w:val="TableParagraph"/>
              <w:spacing w:before="266"/>
              <w:rPr>
                <w:sz w:val="24"/>
                <w:szCs w:val="24"/>
                <w:lang w:val="es-MX"/>
              </w:rPr>
            </w:pPr>
          </w:p>
          <w:p w14:paraId="211B5814" w14:textId="77777777" w:rsidR="00037562" w:rsidRDefault="00037562" w:rsidP="00C4740F">
            <w:pPr>
              <w:pStyle w:val="TableParagraph"/>
              <w:spacing w:before="266"/>
              <w:rPr>
                <w:sz w:val="24"/>
                <w:szCs w:val="24"/>
                <w:lang w:val="es-MX"/>
              </w:rPr>
            </w:pPr>
          </w:p>
          <w:p w14:paraId="1E6DB906" w14:textId="77777777" w:rsidR="00037562" w:rsidRDefault="00037562" w:rsidP="00C4740F">
            <w:pPr>
              <w:pStyle w:val="TableParagraph"/>
              <w:spacing w:before="266"/>
              <w:rPr>
                <w:sz w:val="24"/>
                <w:szCs w:val="24"/>
                <w:lang w:val="es-MX"/>
              </w:rPr>
            </w:pPr>
          </w:p>
          <w:p w14:paraId="624560A8" w14:textId="77777777" w:rsidR="00037562" w:rsidRDefault="00037562" w:rsidP="00C4740F">
            <w:pPr>
              <w:pStyle w:val="TableParagraph"/>
              <w:spacing w:before="266"/>
              <w:rPr>
                <w:sz w:val="24"/>
                <w:szCs w:val="24"/>
                <w:lang w:val="es-MX"/>
              </w:rPr>
            </w:pPr>
          </w:p>
          <w:p w14:paraId="525F0BB6" w14:textId="77777777" w:rsidR="00037562" w:rsidRPr="00121353" w:rsidRDefault="00037562" w:rsidP="00C4740F">
            <w:pPr>
              <w:pStyle w:val="TableParagraph"/>
              <w:spacing w:before="266"/>
              <w:rPr>
                <w:sz w:val="24"/>
                <w:szCs w:val="24"/>
                <w:lang w:val="es-MX"/>
              </w:rPr>
            </w:pPr>
          </w:p>
        </w:tc>
      </w:tr>
      <w:tr w:rsidR="00C4740F" w:rsidRPr="00037562" w14:paraId="3FDD4C30" w14:textId="77777777" w:rsidTr="00C4740F">
        <w:trPr>
          <w:trHeight w:val="269"/>
        </w:trPr>
        <w:tc>
          <w:tcPr>
            <w:tcW w:w="523" w:type="dxa"/>
            <w:vMerge/>
            <w:tcBorders>
              <w:top w:val="nil"/>
              <w:bottom w:val="single" w:sz="24" w:space="0" w:color="000000"/>
            </w:tcBorders>
            <w:shd w:val="clear" w:color="auto" w:fill="00FF00"/>
            <w:textDirection w:val="btLr"/>
          </w:tcPr>
          <w:p w14:paraId="799C147E" w14:textId="77777777" w:rsidR="00C4740F" w:rsidRPr="00121353" w:rsidRDefault="00C4740F" w:rsidP="00672744">
            <w:pPr>
              <w:rPr>
                <w:sz w:val="2"/>
                <w:szCs w:val="2"/>
                <w:lang w:val="es-MX"/>
              </w:rPr>
            </w:pPr>
          </w:p>
        </w:tc>
        <w:tc>
          <w:tcPr>
            <w:tcW w:w="10353" w:type="dxa"/>
            <w:tcBorders>
              <w:bottom w:val="nil"/>
            </w:tcBorders>
          </w:tcPr>
          <w:p w14:paraId="3301D7B4" w14:textId="77777777" w:rsidR="00037562" w:rsidRPr="00037562" w:rsidRDefault="00037562" w:rsidP="00037562">
            <w:pPr>
              <w:pStyle w:val="TableParagraph"/>
              <w:spacing w:line="249" w:lineRule="exact"/>
              <w:rPr>
                <w:b/>
                <w:sz w:val="28"/>
                <w:lang w:val="es-MX"/>
              </w:rPr>
            </w:pPr>
            <w:r w:rsidRPr="00037562">
              <w:rPr>
                <w:b/>
                <w:sz w:val="28"/>
                <w:lang w:val="es-ES"/>
              </w:rPr>
              <w:t>Acciones específicas – líderes escolares (¿Qué medidas específicas tomarán los líderes del plantel para lograr el objetivo?)</w:t>
            </w:r>
          </w:p>
          <w:p w14:paraId="52772543" w14:textId="1EF83479" w:rsidR="00C4740F" w:rsidRPr="00037562" w:rsidRDefault="00C4740F" w:rsidP="00672744">
            <w:pPr>
              <w:pStyle w:val="TableParagraph"/>
              <w:spacing w:line="249" w:lineRule="exact"/>
              <w:rPr>
                <w:i/>
                <w:sz w:val="20"/>
                <w:lang w:val="es-MX"/>
              </w:rPr>
            </w:pPr>
          </w:p>
        </w:tc>
      </w:tr>
      <w:tr w:rsidR="00C4740F" w:rsidRPr="00037562" w14:paraId="4952FF07" w14:textId="77777777" w:rsidTr="00C4740F">
        <w:trPr>
          <w:trHeight w:val="3460"/>
        </w:trPr>
        <w:tc>
          <w:tcPr>
            <w:tcW w:w="523" w:type="dxa"/>
            <w:vMerge/>
            <w:tcBorders>
              <w:top w:val="nil"/>
              <w:bottom w:val="single" w:sz="24" w:space="0" w:color="000000"/>
            </w:tcBorders>
            <w:shd w:val="clear" w:color="auto" w:fill="00FF00"/>
            <w:textDirection w:val="btLr"/>
          </w:tcPr>
          <w:p w14:paraId="27C0A6E7" w14:textId="77777777" w:rsidR="00C4740F" w:rsidRPr="00037562" w:rsidRDefault="00C4740F" w:rsidP="00672744">
            <w:pPr>
              <w:rPr>
                <w:sz w:val="2"/>
                <w:szCs w:val="2"/>
                <w:lang w:val="es-MX"/>
              </w:rPr>
            </w:pPr>
          </w:p>
        </w:tc>
        <w:tc>
          <w:tcPr>
            <w:tcW w:w="10353" w:type="dxa"/>
            <w:tcBorders>
              <w:top w:val="nil"/>
            </w:tcBorders>
          </w:tcPr>
          <w:p w14:paraId="1113219C" w14:textId="77777777" w:rsidR="00037562" w:rsidRPr="00037562" w:rsidRDefault="00037562" w:rsidP="00037562">
            <w:pPr>
              <w:pStyle w:val="TableParagraph"/>
              <w:spacing w:line="198" w:lineRule="exact"/>
              <w:ind w:left="105"/>
              <w:rPr>
                <w:i/>
                <w:spacing w:val="-2"/>
                <w:sz w:val="20"/>
                <w:lang w:val="es-ES"/>
              </w:rPr>
            </w:pPr>
          </w:p>
          <w:p w14:paraId="25FD14BF" w14:textId="77777777" w:rsidR="00037562" w:rsidRPr="00037562" w:rsidRDefault="00037562" w:rsidP="00037562">
            <w:pPr>
              <w:pStyle w:val="TableParagraph"/>
              <w:spacing w:line="198" w:lineRule="exact"/>
              <w:ind w:left="105"/>
              <w:rPr>
                <w:i/>
                <w:spacing w:val="-2"/>
                <w:sz w:val="20"/>
                <w:lang w:val="es-ES"/>
              </w:rPr>
            </w:pPr>
            <w:r w:rsidRPr="00037562">
              <w:rPr>
                <w:i/>
                <w:spacing w:val="-2"/>
                <w:sz w:val="20"/>
                <w:lang w:val="es-ES"/>
              </w:rPr>
              <w:t>• Facilitar reuniones para compartir los datos y objetivos a nivel estudiantil con la administración, el personal y el profesorado del campus.</w:t>
            </w:r>
          </w:p>
          <w:p w14:paraId="7911AA44" w14:textId="77777777" w:rsidR="00037562" w:rsidRPr="00037562" w:rsidRDefault="00037562" w:rsidP="00037562">
            <w:pPr>
              <w:pStyle w:val="TableParagraph"/>
              <w:spacing w:line="198" w:lineRule="exact"/>
              <w:ind w:left="105"/>
              <w:rPr>
                <w:i/>
                <w:spacing w:val="-2"/>
                <w:sz w:val="20"/>
                <w:lang w:val="es-ES"/>
              </w:rPr>
            </w:pPr>
            <w:r w:rsidRPr="00037562">
              <w:rPr>
                <w:i/>
                <w:spacing w:val="-2"/>
                <w:sz w:val="20"/>
                <w:lang w:val="es-ES"/>
              </w:rPr>
              <w:t>• Comunicarse frecuentemente con el alumnado sobre hábitos para el éxito e incorporar prácticas culturalmente relevantes y orientadas al crecimiento.</w:t>
            </w:r>
          </w:p>
          <w:p w14:paraId="35BDEC76" w14:textId="77777777" w:rsidR="00037562" w:rsidRPr="00037562" w:rsidRDefault="00037562" w:rsidP="00037562">
            <w:pPr>
              <w:pStyle w:val="TableParagraph"/>
              <w:spacing w:line="198" w:lineRule="exact"/>
              <w:ind w:left="105"/>
              <w:rPr>
                <w:i/>
                <w:spacing w:val="-2"/>
                <w:sz w:val="20"/>
                <w:lang w:val="es-ES"/>
              </w:rPr>
            </w:pPr>
            <w:r w:rsidRPr="00037562">
              <w:rPr>
                <w:i/>
                <w:spacing w:val="-2"/>
                <w:sz w:val="20"/>
                <w:lang w:val="es-ES"/>
              </w:rPr>
              <w:t>• Establecer colaboraciones con todas las partes interesadas para tomar decisiones informadas y brindar oportunidades equitativas a todos los estudiantes.</w:t>
            </w:r>
          </w:p>
          <w:p w14:paraId="52254B26" w14:textId="77777777" w:rsidR="00037562" w:rsidRPr="00037562" w:rsidRDefault="00037562" w:rsidP="00037562">
            <w:pPr>
              <w:pStyle w:val="TableParagraph"/>
              <w:spacing w:line="198" w:lineRule="exact"/>
              <w:ind w:left="105"/>
              <w:rPr>
                <w:i/>
                <w:spacing w:val="-2"/>
                <w:sz w:val="20"/>
                <w:lang w:val="es-ES"/>
              </w:rPr>
            </w:pPr>
            <w:r w:rsidRPr="00037562">
              <w:rPr>
                <w:i/>
                <w:spacing w:val="-2"/>
                <w:sz w:val="20"/>
                <w:lang w:val="es-ES"/>
              </w:rPr>
              <w:t>• Establecer un sistema de intervención de alta calidad y multinivel, y comunicarse frecuentemente con el personal, las familias y los estudiantes sobre el progreso del sistema de apoyo.</w:t>
            </w:r>
          </w:p>
          <w:p w14:paraId="7BC0DA4D" w14:textId="77777777" w:rsidR="00037562" w:rsidRPr="00037562" w:rsidRDefault="00037562" w:rsidP="00037562">
            <w:pPr>
              <w:pStyle w:val="TableParagraph"/>
              <w:spacing w:line="198" w:lineRule="exact"/>
              <w:ind w:left="105"/>
              <w:rPr>
                <w:i/>
                <w:spacing w:val="-2"/>
                <w:sz w:val="20"/>
                <w:lang w:val="es-ES"/>
              </w:rPr>
            </w:pPr>
            <w:r w:rsidRPr="00037562">
              <w:rPr>
                <w:i/>
                <w:spacing w:val="-2"/>
                <w:sz w:val="20"/>
                <w:lang w:val="es-ES"/>
              </w:rPr>
              <w:t>• Supervisar el uso efectivo de lecciones personalizadas, diseñadas según el protocolo de internalización de lecciones de HISD y basadas en observaciones específicas en el aula realizadas por los líderes del campus.</w:t>
            </w:r>
          </w:p>
          <w:p w14:paraId="3083B296" w14:textId="77777777" w:rsidR="00037562" w:rsidRPr="00037562" w:rsidRDefault="00037562" w:rsidP="00037562">
            <w:pPr>
              <w:pStyle w:val="TableParagraph"/>
              <w:spacing w:line="198" w:lineRule="exact"/>
              <w:ind w:left="105"/>
              <w:rPr>
                <w:i/>
                <w:spacing w:val="-2"/>
                <w:sz w:val="20"/>
                <w:lang w:val="es-MX"/>
              </w:rPr>
            </w:pPr>
            <w:r w:rsidRPr="00037562">
              <w:rPr>
                <w:i/>
                <w:spacing w:val="-2"/>
                <w:sz w:val="20"/>
                <w:lang w:val="es-ES"/>
              </w:rPr>
              <w:t>• Los líderes docentes del campus brindan capacitación y coaching constante e integrado en el trabajo para que los docentes utilicen eficazmente materiales didácticos de alta calidad y prácticas docentes basadas en la investigación, incluyendo habilidades de pensamiento crítico, estrategias de respuesta múltiple y apoyo diferenciado y escalonado para estudiantes con discapacidades, estudiantes bilingües emergentes y otros grupos estudiantiles.</w:t>
            </w:r>
          </w:p>
          <w:p w14:paraId="3B842BF8" w14:textId="77777777" w:rsidR="00C4740F" w:rsidRPr="00037562" w:rsidRDefault="00C4740F" w:rsidP="00672744">
            <w:pPr>
              <w:pStyle w:val="TableParagraph"/>
              <w:spacing w:line="198" w:lineRule="exact"/>
              <w:ind w:left="105"/>
              <w:rPr>
                <w:i/>
                <w:spacing w:val="-2"/>
                <w:sz w:val="20"/>
                <w:lang w:val="es-MX"/>
              </w:rPr>
            </w:pPr>
          </w:p>
          <w:p w14:paraId="58978EED" w14:textId="77777777" w:rsidR="00C4740F" w:rsidRPr="00037562" w:rsidRDefault="00C4740F" w:rsidP="00672744">
            <w:pPr>
              <w:pStyle w:val="TableParagraph"/>
              <w:spacing w:line="198" w:lineRule="exact"/>
              <w:rPr>
                <w:i/>
                <w:sz w:val="20"/>
                <w:lang w:val="es-MX"/>
              </w:rPr>
            </w:pPr>
          </w:p>
        </w:tc>
      </w:tr>
      <w:tr w:rsidR="00C4740F" w14:paraId="56D82739" w14:textId="77777777" w:rsidTr="00C4740F">
        <w:trPr>
          <w:trHeight w:val="3491"/>
        </w:trPr>
        <w:tc>
          <w:tcPr>
            <w:tcW w:w="523" w:type="dxa"/>
            <w:vMerge/>
            <w:tcBorders>
              <w:top w:val="nil"/>
              <w:bottom w:val="single" w:sz="24" w:space="0" w:color="000000"/>
            </w:tcBorders>
            <w:shd w:val="clear" w:color="auto" w:fill="00FF00"/>
            <w:textDirection w:val="btLr"/>
          </w:tcPr>
          <w:p w14:paraId="100E7CB9" w14:textId="77777777" w:rsidR="00C4740F" w:rsidRPr="00037562" w:rsidRDefault="00C4740F" w:rsidP="00672744">
            <w:pPr>
              <w:rPr>
                <w:sz w:val="2"/>
                <w:szCs w:val="2"/>
                <w:lang w:val="es-MX"/>
              </w:rPr>
            </w:pPr>
          </w:p>
        </w:tc>
        <w:tc>
          <w:tcPr>
            <w:tcW w:w="10353" w:type="dxa"/>
            <w:tcBorders>
              <w:bottom w:val="single" w:sz="24" w:space="0" w:color="000000"/>
            </w:tcBorders>
          </w:tcPr>
          <w:p w14:paraId="16D37C22" w14:textId="77777777" w:rsidR="00C4740F" w:rsidRDefault="00C4740F" w:rsidP="00672744">
            <w:pPr>
              <w:pStyle w:val="TableParagraph"/>
              <w:spacing w:line="299" w:lineRule="exact"/>
              <w:ind w:left="105"/>
              <w:rPr>
                <w:i/>
                <w:spacing w:val="-2"/>
                <w:sz w:val="20"/>
              </w:rPr>
            </w:pPr>
            <w:r>
              <w:rPr>
                <w:b/>
                <w:sz w:val="28"/>
              </w:rPr>
              <w:t>Specific</w:t>
            </w:r>
            <w:r>
              <w:rPr>
                <w:b/>
                <w:spacing w:val="-6"/>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staff</w:t>
            </w:r>
            <w:r>
              <w:rPr>
                <w:b/>
                <w:spacing w:val="50"/>
                <w:sz w:val="28"/>
              </w:rPr>
              <w:t xml:space="preserve"> </w:t>
            </w:r>
            <w:r>
              <w:rPr>
                <w:i/>
                <w:sz w:val="20"/>
              </w:rPr>
              <w:t>(What</w:t>
            </w:r>
            <w:r>
              <w:rPr>
                <w:i/>
                <w:spacing w:val="-5"/>
                <w:sz w:val="20"/>
              </w:rPr>
              <w:t xml:space="preserve"> </w:t>
            </w:r>
            <w:r>
              <w:rPr>
                <w:i/>
                <w:sz w:val="20"/>
              </w:rPr>
              <w:t>specific</w:t>
            </w:r>
            <w:r>
              <w:rPr>
                <w:i/>
                <w:spacing w:val="-5"/>
                <w:sz w:val="20"/>
              </w:rPr>
              <w:t xml:space="preserve"> </w:t>
            </w:r>
            <w:r>
              <w:rPr>
                <w:i/>
                <w:sz w:val="20"/>
              </w:rPr>
              <w:t>action</w:t>
            </w:r>
            <w:r>
              <w:rPr>
                <w:i/>
                <w:spacing w:val="-5"/>
                <w:sz w:val="20"/>
              </w:rPr>
              <w:t xml:space="preserve"> </w:t>
            </w:r>
            <w:r>
              <w:rPr>
                <w:i/>
                <w:sz w:val="20"/>
              </w:rPr>
              <w:t>steps</w:t>
            </w:r>
            <w:r>
              <w:rPr>
                <w:i/>
                <w:spacing w:val="-5"/>
                <w:sz w:val="20"/>
              </w:rPr>
              <w:t xml:space="preserve"> </w:t>
            </w:r>
            <w:r>
              <w:rPr>
                <w:i/>
                <w:sz w:val="20"/>
              </w:rPr>
              <w:t>will</w:t>
            </w:r>
            <w:r>
              <w:rPr>
                <w:i/>
                <w:spacing w:val="-5"/>
                <w:sz w:val="20"/>
              </w:rPr>
              <w:t xml:space="preserve"> </w:t>
            </w:r>
            <w:r>
              <w:rPr>
                <w:i/>
                <w:sz w:val="20"/>
              </w:rPr>
              <w:t>the</w:t>
            </w:r>
            <w:r>
              <w:rPr>
                <w:i/>
                <w:spacing w:val="-5"/>
                <w:sz w:val="20"/>
              </w:rPr>
              <w:t xml:space="preserve"> </w:t>
            </w:r>
            <w:r>
              <w:rPr>
                <w:i/>
                <w:sz w:val="20"/>
              </w:rPr>
              <w:t>staff</w:t>
            </w:r>
            <w:r>
              <w:rPr>
                <w:i/>
                <w:spacing w:val="-5"/>
                <w:sz w:val="20"/>
              </w:rPr>
              <w:t xml:space="preserve"> </w:t>
            </w:r>
            <w:r>
              <w:rPr>
                <w:i/>
                <w:sz w:val="20"/>
              </w:rPr>
              <w:t>take</w:t>
            </w:r>
            <w:r>
              <w:rPr>
                <w:i/>
                <w:spacing w:val="-5"/>
                <w:sz w:val="20"/>
              </w:rPr>
              <w:t xml:space="preserve"> </w:t>
            </w:r>
            <w:r>
              <w:rPr>
                <w:i/>
                <w:sz w:val="20"/>
              </w:rPr>
              <w:t>to</w:t>
            </w:r>
            <w:r>
              <w:rPr>
                <w:i/>
                <w:spacing w:val="-5"/>
                <w:sz w:val="20"/>
              </w:rPr>
              <w:t xml:space="preserve"> </w:t>
            </w:r>
            <w:r>
              <w:rPr>
                <w:i/>
                <w:sz w:val="20"/>
              </w:rPr>
              <w:t>accomplish</w:t>
            </w:r>
            <w:r>
              <w:rPr>
                <w:i/>
                <w:spacing w:val="-5"/>
                <w:sz w:val="20"/>
              </w:rPr>
              <w:t xml:space="preserve"> </w:t>
            </w:r>
            <w:r>
              <w:rPr>
                <w:i/>
                <w:sz w:val="20"/>
              </w:rPr>
              <w:t>the</w:t>
            </w:r>
            <w:r>
              <w:rPr>
                <w:i/>
                <w:spacing w:val="-5"/>
                <w:sz w:val="20"/>
              </w:rPr>
              <w:t xml:space="preserve"> </w:t>
            </w:r>
            <w:r>
              <w:rPr>
                <w:i/>
                <w:spacing w:val="-2"/>
                <w:sz w:val="20"/>
              </w:rPr>
              <w:t>objective?)</w:t>
            </w:r>
          </w:p>
          <w:p w14:paraId="4A4DDD4C" w14:textId="77777777" w:rsidR="00C4740F" w:rsidRDefault="00C4740F" w:rsidP="00672744">
            <w:pPr>
              <w:pStyle w:val="TableParagraph"/>
              <w:spacing w:line="299" w:lineRule="exact"/>
              <w:ind w:left="105"/>
              <w:rPr>
                <w:i/>
                <w:sz w:val="20"/>
              </w:rPr>
            </w:pPr>
          </w:p>
          <w:p w14:paraId="282F8840" w14:textId="77777777" w:rsidR="00C4740F" w:rsidRPr="00F05F19" w:rsidRDefault="00C4740F" w:rsidP="00C4740F">
            <w:pPr>
              <w:pStyle w:val="ListParagraph"/>
              <w:numPr>
                <w:ilvl w:val="0"/>
                <w:numId w:val="1"/>
              </w:numPr>
              <w:rPr>
                <w:sz w:val="24"/>
                <w:szCs w:val="24"/>
              </w:rPr>
            </w:pPr>
            <w:r w:rsidRPr="00F05F19">
              <w:rPr>
                <w:bCs/>
                <w:sz w:val="24"/>
                <w:szCs w:val="24"/>
              </w:rPr>
              <w:t>Ensure students are reading, writing, thinking, and discussing 95% of the time during a lesson cycle.</w:t>
            </w:r>
          </w:p>
          <w:p w14:paraId="428AB858" w14:textId="77777777" w:rsidR="00C4740F" w:rsidRPr="00F05F19" w:rsidRDefault="00C4740F" w:rsidP="00C4740F">
            <w:pPr>
              <w:pStyle w:val="ListParagraph"/>
              <w:numPr>
                <w:ilvl w:val="0"/>
                <w:numId w:val="1"/>
              </w:numPr>
              <w:rPr>
                <w:color w:val="000000" w:themeColor="text1"/>
                <w:sz w:val="24"/>
                <w:szCs w:val="24"/>
              </w:rPr>
            </w:pPr>
            <w:r w:rsidRPr="3C2A3648">
              <w:rPr>
                <w:color w:val="000000" w:themeColor="text1"/>
                <w:sz w:val="24"/>
                <w:szCs w:val="24"/>
              </w:rPr>
              <w:t xml:space="preserve">All teachers will create and submit </w:t>
            </w:r>
            <w:r>
              <w:rPr>
                <w:color w:val="000000" w:themeColor="text1"/>
                <w:sz w:val="24"/>
                <w:szCs w:val="24"/>
              </w:rPr>
              <w:t>weekly</w:t>
            </w:r>
            <w:r w:rsidRPr="3C2A3648">
              <w:rPr>
                <w:color w:val="000000" w:themeColor="text1"/>
                <w:sz w:val="24"/>
                <w:szCs w:val="24"/>
              </w:rPr>
              <w:t xml:space="preserve"> lesson plans </w:t>
            </w:r>
            <w:r w:rsidRPr="3C2A3648">
              <w:rPr>
                <w:sz w:val="24"/>
                <w:szCs w:val="24"/>
              </w:rPr>
              <w:t>that include clear objectives, opening activities, time allotments</w:t>
            </w:r>
            <w:r w:rsidRPr="3C2A3648">
              <w:rPr>
                <w:b/>
                <w:bCs/>
                <w:sz w:val="24"/>
                <w:szCs w:val="24"/>
              </w:rPr>
              <w:t xml:space="preserve"> </w:t>
            </w:r>
            <w:r w:rsidRPr="3C2A3648">
              <w:rPr>
                <w:sz w:val="24"/>
                <w:szCs w:val="24"/>
              </w:rPr>
              <w:t>for eac</w:t>
            </w:r>
            <w:r w:rsidRPr="3C2A3648">
              <w:rPr>
                <w:color w:val="000000" w:themeColor="text1"/>
                <w:sz w:val="24"/>
                <w:szCs w:val="24"/>
              </w:rPr>
              <w:t xml:space="preserve">h step of the lesson, differentiated paths of instruction to clearly defined learning goals to meet the needs of students with disabilities and emergent bilingual learners.  </w:t>
            </w:r>
          </w:p>
          <w:p w14:paraId="5ECEF18B" w14:textId="77777777" w:rsidR="00C4740F" w:rsidRPr="00F05F19" w:rsidRDefault="00C4740F" w:rsidP="00C4740F">
            <w:pPr>
              <w:pStyle w:val="ListParagraph"/>
              <w:numPr>
                <w:ilvl w:val="0"/>
                <w:numId w:val="1"/>
              </w:numPr>
              <w:rPr>
                <w:color w:val="000000" w:themeColor="text1"/>
                <w:sz w:val="24"/>
                <w:szCs w:val="24"/>
              </w:rPr>
            </w:pPr>
            <w:r w:rsidRPr="3C2A3648">
              <w:rPr>
                <w:color w:val="000000" w:themeColor="text1"/>
                <w:sz w:val="24"/>
                <w:szCs w:val="24"/>
              </w:rPr>
              <w:t>All teachers create lessons informed by student data and include frequent checks for understanding aligned to the objective using multiple response strategies.</w:t>
            </w:r>
          </w:p>
          <w:p w14:paraId="441538B6" w14:textId="77777777" w:rsidR="00C4740F" w:rsidRPr="00F05F19" w:rsidRDefault="00C4740F" w:rsidP="00C4740F">
            <w:pPr>
              <w:pStyle w:val="ListParagraph"/>
              <w:numPr>
                <w:ilvl w:val="0"/>
                <w:numId w:val="1"/>
              </w:numPr>
              <w:rPr>
                <w:color w:val="000000" w:themeColor="text1"/>
                <w:sz w:val="24"/>
                <w:szCs w:val="24"/>
              </w:rPr>
            </w:pPr>
            <w:r w:rsidRPr="3C2A3648">
              <w:rPr>
                <w:color w:val="000000" w:themeColor="text1"/>
                <w:sz w:val="24"/>
                <w:szCs w:val="24"/>
              </w:rPr>
              <w:t>Teachers engage in ongoing professional development to effectively address the needs of students with learning disabilities and emergent bilingual students.</w:t>
            </w:r>
          </w:p>
          <w:p w14:paraId="7D2D8870" w14:textId="77777777" w:rsidR="00C4740F" w:rsidRDefault="00C4740F" w:rsidP="00672744">
            <w:pPr>
              <w:pStyle w:val="TableParagraph"/>
              <w:spacing w:line="299" w:lineRule="exact"/>
              <w:ind w:left="105"/>
              <w:rPr>
                <w:i/>
                <w:sz w:val="20"/>
              </w:rPr>
            </w:pPr>
          </w:p>
        </w:tc>
      </w:tr>
    </w:tbl>
    <w:p w14:paraId="18722115" w14:textId="462399C0" w:rsidR="00BA1818" w:rsidRPr="00BA1818" w:rsidRDefault="00BA1818" w:rsidP="00BA1818">
      <w:pPr>
        <w:jc w:val="center"/>
        <w:rPr>
          <w:b/>
          <w:bCs/>
          <w:lang w:val="es-MX"/>
        </w:rPr>
      </w:pPr>
    </w:p>
    <w:sectPr w:rsidR="00BA1818" w:rsidRPr="00BA1818" w:rsidSect="00BA1818">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6E62A" w14:textId="77777777" w:rsidR="00DC399C" w:rsidRDefault="00DC399C" w:rsidP="00BA1818">
      <w:r>
        <w:separator/>
      </w:r>
    </w:p>
  </w:endnote>
  <w:endnote w:type="continuationSeparator" w:id="0">
    <w:p w14:paraId="65224406" w14:textId="77777777" w:rsidR="00DC399C" w:rsidRDefault="00DC399C" w:rsidP="00BA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608B6" w14:textId="77777777" w:rsidR="00DC399C" w:rsidRDefault="00DC399C" w:rsidP="00BA1818">
      <w:r>
        <w:separator/>
      </w:r>
    </w:p>
  </w:footnote>
  <w:footnote w:type="continuationSeparator" w:id="0">
    <w:p w14:paraId="7FA19862" w14:textId="77777777" w:rsidR="00DC399C" w:rsidRDefault="00DC399C" w:rsidP="00BA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74061"/>
    <w:multiLevelType w:val="hybridMultilevel"/>
    <w:tmpl w:val="345860E0"/>
    <w:lvl w:ilvl="0" w:tplc="4CB29636">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E965C63"/>
    <w:multiLevelType w:val="hybridMultilevel"/>
    <w:tmpl w:val="9A3E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703959">
    <w:abstractNumId w:val="1"/>
  </w:num>
  <w:num w:numId="2" w16cid:durableId="86521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18"/>
    <w:rsid w:val="00037562"/>
    <w:rsid w:val="000961A7"/>
    <w:rsid w:val="00121353"/>
    <w:rsid w:val="00451CCA"/>
    <w:rsid w:val="00A26EDA"/>
    <w:rsid w:val="00A46464"/>
    <w:rsid w:val="00AD74C1"/>
    <w:rsid w:val="00B733FD"/>
    <w:rsid w:val="00BA1818"/>
    <w:rsid w:val="00C4740F"/>
    <w:rsid w:val="00C65B48"/>
    <w:rsid w:val="00DC399C"/>
    <w:rsid w:val="00E13753"/>
    <w:rsid w:val="00EF67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D55E"/>
  <w15:chartTrackingRefBased/>
  <w15:docId w15:val="{B5C8A243-10B0-4263-84D7-ED57D3E7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8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8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8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8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8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8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8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8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8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8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8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8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818"/>
    <w:rPr>
      <w:rFonts w:eastAsiaTheme="majorEastAsia" w:cstheme="majorBidi"/>
      <w:color w:val="272727" w:themeColor="text1" w:themeTint="D8"/>
    </w:rPr>
  </w:style>
  <w:style w:type="paragraph" w:styleId="Title">
    <w:name w:val="Title"/>
    <w:basedOn w:val="Normal"/>
    <w:next w:val="Normal"/>
    <w:link w:val="TitleChar"/>
    <w:uiPriority w:val="10"/>
    <w:qFormat/>
    <w:rsid w:val="00BA18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8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8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1818"/>
    <w:rPr>
      <w:i/>
      <w:iCs/>
      <w:color w:val="404040" w:themeColor="text1" w:themeTint="BF"/>
    </w:rPr>
  </w:style>
  <w:style w:type="paragraph" w:styleId="ListParagraph">
    <w:name w:val="List Paragraph"/>
    <w:basedOn w:val="Normal"/>
    <w:uiPriority w:val="34"/>
    <w:qFormat/>
    <w:rsid w:val="00BA1818"/>
    <w:pPr>
      <w:ind w:left="720"/>
      <w:contextualSpacing/>
    </w:pPr>
  </w:style>
  <w:style w:type="character" w:styleId="IntenseEmphasis">
    <w:name w:val="Intense Emphasis"/>
    <w:basedOn w:val="DefaultParagraphFont"/>
    <w:uiPriority w:val="21"/>
    <w:qFormat/>
    <w:rsid w:val="00BA1818"/>
    <w:rPr>
      <w:i/>
      <w:iCs/>
      <w:color w:val="0F4761" w:themeColor="accent1" w:themeShade="BF"/>
    </w:rPr>
  </w:style>
  <w:style w:type="paragraph" w:styleId="IntenseQuote">
    <w:name w:val="Intense Quote"/>
    <w:basedOn w:val="Normal"/>
    <w:next w:val="Normal"/>
    <w:link w:val="IntenseQuoteChar"/>
    <w:uiPriority w:val="30"/>
    <w:qFormat/>
    <w:rsid w:val="00BA1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818"/>
    <w:rPr>
      <w:i/>
      <w:iCs/>
      <w:color w:val="0F4761" w:themeColor="accent1" w:themeShade="BF"/>
    </w:rPr>
  </w:style>
  <w:style w:type="character" w:styleId="IntenseReference">
    <w:name w:val="Intense Reference"/>
    <w:basedOn w:val="DefaultParagraphFont"/>
    <w:uiPriority w:val="32"/>
    <w:qFormat/>
    <w:rsid w:val="00BA181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A18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A1818"/>
    <w:rPr>
      <w:rFonts w:ascii="Consolas" w:hAnsi="Consolas"/>
      <w:sz w:val="20"/>
      <w:szCs w:val="20"/>
    </w:rPr>
  </w:style>
  <w:style w:type="paragraph" w:styleId="Header">
    <w:name w:val="header"/>
    <w:basedOn w:val="Normal"/>
    <w:link w:val="HeaderChar"/>
    <w:uiPriority w:val="99"/>
    <w:unhideWhenUsed/>
    <w:rsid w:val="00BA1818"/>
    <w:pPr>
      <w:tabs>
        <w:tab w:val="center" w:pos="4680"/>
        <w:tab w:val="right" w:pos="9360"/>
      </w:tabs>
    </w:pPr>
  </w:style>
  <w:style w:type="character" w:customStyle="1" w:styleId="HeaderChar">
    <w:name w:val="Header Char"/>
    <w:basedOn w:val="DefaultParagraphFont"/>
    <w:link w:val="Header"/>
    <w:uiPriority w:val="99"/>
    <w:rsid w:val="00BA1818"/>
  </w:style>
  <w:style w:type="paragraph" w:styleId="Footer">
    <w:name w:val="footer"/>
    <w:basedOn w:val="Normal"/>
    <w:link w:val="FooterChar"/>
    <w:uiPriority w:val="99"/>
    <w:unhideWhenUsed/>
    <w:rsid w:val="00BA1818"/>
    <w:pPr>
      <w:tabs>
        <w:tab w:val="center" w:pos="4680"/>
        <w:tab w:val="right" w:pos="9360"/>
      </w:tabs>
    </w:pPr>
  </w:style>
  <w:style w:type="character" w:customStyle="1" w:styleId="FooterChar">
    <w:name w:val="Footer Char"/>
    <w:basedOn w:val="DefaultParagraphFont"/>
    <w:link w:val="Footer"/>
    <w:uiPriority w:val="99"/>
    <w:rsid w:val="00BA1818"/>
  </w:style>
  <w:style w:type="paragraph" w:customStyle="1" w:styleId="TableParagraph">
    <w:name w:val="Table Paragraph"/>
    <w:basedOn w:val="Normal"/>
    <w:uiPriority w:val="1"/>
    <w:qFormat/>
    <w:rsid w:val="00C4740F"/>
    <w:pPr>
      <w:widowControl w:val="0"/>
      <w:autoSpaceDE w:val="0"/>
      <w:autoSpaceDN w:val="0"/>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4740F"/>
  </w:style>
  <w:style w:type="character" w:customStyle="1" w:styleId="eop">
    <w:name w:val="eop"/>
    <w:basedOn w:val="DefaultParagraphFont"/>
    <w:rsid w:val="00C4740F"/>
  </w:style>
  <w:style w:type="paragraph" w:styleId="NormalWeb">
    <w:name w:val="Normal (Web)"/>
    <w:basedOn w:val="Normal"/>
    <w:uiPriority w:val="99"/>
    <w:unhideWhenUsed/>
    <w:rsid w:val="00C4740F"/>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y2iqfc">
    <w:name w:val="y2iqfc"/>
    <w:basedOn w:val="DefaultParagraphFont"/>
    <w:rsid w:val="00C47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7612">
      <w:bodyDiv w:val="1"/>
      <w:marLeft w:val="0"/>
      <w:marRight w:val="0"/>
      <w:marTop w:val="0"/>
      <w:marBottom w:val="0"/>
      <w:divBdr>
        <w:top w:val="none" w:sz="0" w:space="0" w:color="auto"/>
        <w:left w:val="none" w:sz="0" w:space="0" w:color="auto"/>
        <w:bottom w:val="none" w:sz="0" w:space="0" w:color="auto"/>
        <w:right w:val="none" w:sz="0" w:space="0" w:color="auto"/>
      </w:divBdr>
    </w:div>
    <w:div w:id="59134671">
      <w:bodyDiv w:val="1"/>
      <w:marLeft w:val="0"/>
      <w:marRight w:val="0"/>
      <w:marTop w:val="0"/>
      <w:marBottom w:val="0"/>
      <w:divBdr>
        <w:top w:val="none" w:sz="0" w:space="0" w:color="auto"/>
        <w:left w:val="none" w:sz="0" w:space="0" w:color="auto"/>
        <w:bottom w:val="none" w:sz="0" w:space="0" w:color="auto"/>
        <w:right w:val="none" w:sz="0" w:space="0" w:color="auto"/>
      </w:divBdr>
    </w:div>
    <w:div w:id="116070839">
      <w:bodyDiv w:val="1"/>
      <w:marLeft w:val="0"/>
      <w:marRight w:val="0"/>
      <w:marTop w:val="0"/>
      <w:marBottom w:val="0"/>
      <w:divBdr>
        <w:top w:val="none" w:sz="0" w:space="0" w:color="auto"/>
        <w:left w:val="none" w:sz="0" w:space="0" w:color="auto"/>
        <w:bottom w:val="none" w:sz="0" w:space="0" w:color="auto"/>
        <w:right w:val="none" w:sz="0" w:space="0" w:color="auto"/>
      </w:divBdr>
    </w:div>
    <w:div w:id="186216090">
      <w:bodyDiv w:val="1"/>
      <w:marLeft w:val="0"/>
      <w:marRight w:val="0"/>
      <w:marTop w:val="0"/>
      <w:marBottom w:val="0"/>
      <w:divBdr>
        <w:top w:val="none" w:sz="0" w:space="0" w:color="auto"/>
        <w:left w:val="none" w:sz="0" w:space="0" w:color="auto"/>
        <w:bottom w:val="none" w:sz="0" w:space="0" w:color="auto"/>
        <w:right w:val="none" w:sz="0" w:space="0" w:color="auto"/>
      </w:divBdr>
    </w:div>
    <w:div w:id="320432765">
      <w:bodyDiv w:val="1"/>
      <w:marLeft w:val="0"/>
      <w:marRight w:val="0"/>
      <w:marTop w:val="0"/>
      <w:marBottom w:val="0"/>
      <w:divBdr>
        <w:top w:val="none" w:sz="0" w:space="0" w:color="auto"/>
        <w:left w:val="none" w:sz="0" w:space="0" w:color="auto"/>
        <w:bottom w:val="none" w:sz="0" w:space="0" w:color="auto"/>
        <w:right w:val="none" w:sz="0" w:space="0" w:color="auto"/>
      </w:divBdr>
    </w:div>
    <w:div w:id="337928074">
      <w:bodyDiv w:val="1"/>
      <w:marLeft w:val="0"/>
      <w:marRight w:val="0"/>
      <w:marTop w:val="0"/>
      <w:marBottom w:val="0"/>
      <w:divBdr>
        <w:top w:val="none" w:sz="0" w:space="0" w:color="auto"/>
        <w:left w:val="none" w:sz="0" w:space="0" w:color="auto"/>
        <w:bottom w:val="none" w:sz="0" w:space="0" w:color="auto"/>
        <w:right w:val="none" w:sz="0" w:space="0" w:color="auto"/>
      </w:divBdr>
    </w:div>
    <w:div w:id="399063587">
      <w:bodyDiv w:val="1"/>
      <w:marLeft w:val="0"/>
      <w:marRight w:val="0"/>
      <w:marTop w:val="0"/>
      <w:marBottom w:val="0"/>
      <w:divBdr>
        <w:top w:val="none" w:sz="0" w:space="0" w:color="auto"/>
        <w:left w:val="none" w:sz="0" w:space="0" w:color="auto"/>
        <w:bottom w:val="none" w:sz="0" w:space="0" w:color="auto"/>
        <w:right w:val="none" w:sz="0" w:space="0" w:color="auto"/>
      </w:divBdr>
    </w:div>
    <w:div w:id="433521448">
      <w:bodyDiv w:val="1"/>
      <w:marLeft w:val="0"/>
      <w:marRight w:val="0"/>
      <w:marTop w:val="0"/>
      <w:marBottom w:val="0"/>
      <w:divBdr>
        <w:top w:val="none" w:sz="0" w:space="0" w:color="auto"/>
        <w:left w:val="none" w:sz="0" w:space="0" w:color="auto"/>
        <w:bottom w:val="none" w:sz="0" w:space="0" w:color="auto"/>
        <w:right w:val="none" w:sz="0" w:space="0" w:color="auto"/>
      </w:divBdr>
    </w:div>
    <w:div w:id="458498851">
      <w:bodyDiv w:val="1"/>
      <w:marLeft w:val="0"/>
      <w:marRight w:val="0"/>
      <w:marTop w:val="0"/>
      <w:marBottom w:val="0"/>
      <w:divBdr>
        <w:top w:val="none" w:sz="0" w:space="0" w:color="auto"/>
        <w:left w:val="none" w:sz="0" w:space="0" w:color="auto"/>
        <w:bottom w:val="none" w:sz="0" w:space="0" w:color="auto"/>
        <w:right w:val="none" w:sz="0" w:space="0" w:color="auto"/>
      </w:divBdr>
    </w:div>
    <w:div w:id="465971518">
      <w:bodyDiv w:val="1"/>
      <w:marLeft w:val="0"/>
      <w:marRight w:val="0"/>
      <w:marTop w:val="0"/>
      <w:marBottom w:val="0"/>
      <w:divBdr>
        <w:top w:val="none" w:sz="0" w:space="0" w:color="auto"/>
        <w:left w:val="none" w:sz="0" w:space="0" w:color="auto"/>
        <w:bottom w:val="none" w:sz="0" w:space="0" w:color="auto"/>
        <w:right w:val="none" w:sz="0" w:space="0" w:color="auto"/>
      </w:divBdr>
    </w:div>
    <w:div w:id="561716523">
      <w:bodyDiv w:val="1"/>
      <w:marLeft w:val="0"/>
      <w:marRight w:val="0"/>
      <w:marTop w:val="0"/>
      <w:marBottom w:val="0"/>
      <w:divBdr>
        <w:top w:val="none" w:sz="0" w:space="0" w:color="auto"/>
        <w:left w:val="none" w:sz="0" w:space="0" w:color="auto"/>
        <w:bottom w:val="none" w:sz="0" w:space="0" w:color="auto"/>
        <w:right w:val="none" w:sz="0" w:space="0" w:color="auto"/>
      </w:divBdr>
    </w:div>
    <w:div w:id="610286330">
      <w:bodyDiv w:val="1"/>
      <w:marLeft w:val="0"/>
      <w:marRight w:val="0"/>
      <w:marTop w:val="0"/>
      <w:marBottom w:val="0"/>
      <w:divBdr>
        <w:top w:val="none" w:sz="0" w:space="0" w:color="auto"/>
        <w:left w:val="none" w:sz="0" w:space="0" w:color="auto"/>
        <w:bottom w:val="none" w:sz="0" w:space="0" w:color="auto"/>
        <w:right w:val="none" w:sz="0" w:space="0" w:color="auto"/>
      </w:divBdr>
    </w:div>
    <w:div w:id="634409216">
      <w:bodyDiv w:val="1"/>
      <w:marLeft w:val="0"/>
      <w:marRight w:val="0"/>
      <w:marTop w:val="0"/>
      <w:marBottom w:val="0"/>
      <w:divBdr>
        <w:top w:val="none" w:sz="0" w:space="0" w:color="auto"/>
        <w:left w:val="none" w:sz="0" w:space="0" w:color="auto"/>
        <w:bottom w:val="none" w:sz="0" w:space="0" w:color="auto"/>
        <w:right w:val="none" w:sz="0" w:space="0" w:color="auto"/>
      </w:divBdr>
    </w:div>
    <w:div w:id="696782991">
      <w:bodyDiv w:val="1"/>
      <w:marLeft w:val="0"/>
      <w:marRight w:val="0"/>
      <w:marTop w:val="0"/>
      <w:marBottom w:val="0"/>
      <w:divBdr>
        <w:top w:val="none" w:sz="0" w:space="0" w:color="auto"/>
        <w:left w:val="none" w:sz="0" w:space="0" w:color="auto"/>
        <w:bottom w:val="none" w:sz="0" w:space="0" w:color="auto"/>
        <w:right w:val="none" w:sz="0" w:space="0" w:color="auto"/>
      </w:divBdr>
    </w:div>
    <w:div w:id="770979533">
      <w:bodyDiv w:val="1"/>
      <w:marLeft w:val="0"/>
      <w:marRight w:val="0"/>
      <w:marTop w:val="0"/>
      <w:marBottom w:val="0"/>
      <w:divBdr>
        <w:top w:val="none" w:sz="0" w:space="0" w:color="auto"/>
        <w:left w:val="none" w:sz="0" w:space="0" w:color="auto"/>
        <w:bottom w:val="none" w:sz="0" w:space="0" w:color="auto"/>
        <w:right w:val="none" w:sz="0" w:space="0" w:color="auto"/>
      </w:divBdr>
    </w:div>
    <w:div w:id="929507799">
      <w:bodyDiv w:val="1"/>
      <w:marLeft w:val="0"/>
      <w:marRight w:val="0"/>
      <w:marTop w:val="0"/>
      <w:marBottom w:val="0"/>
      <w:divBdr>
        <w:top w:val="none" w:sz="0" w:space="0" w:color="auto"/>
        <w:left w:val="none" w:sz="0" w:space="0" w:color="auto"/>
        <w:bottom w:val="none" w:sz="0" w:space="0" w:color="auto"/>
        <w:right w:val="none" w:sz="0" w:space="0" w:color="auto"/>
      </w:divBdr>
    </w:div>
    <w:div w:id="1038699510">
      <w:bodyDiv w:val="1"/>
      <w:marLeft w:val="0"/>
      <w:marRight w:val="0"/>
      <w:marTop w:val="0"/>
      <w:marBottom w:val="0"/>
      <w:divBdr>
        <w:top w:val="none" w:sz="0" w:space="0" w:color="auto"/>
        <w:left w:val="none" w:sz="0" w:space="0" w:color="auto"/>
        <w:bottom w:val="none" w:sz="0" w:space="0" w:color="auto"/>
        <w:right w:val="none" w:sz="0" w:space="0" w:color="auto"/>
      </w:divBdr>
    </w:div>
    <w:div w:id="1065035091">
      <w:bodyDiv w:val="1"/>
      <w:marLeft w:val="0"/>
      <w:marRight w:val="0"/>
      <w:marTop w:val="0"/>
      <w:marBottom w:val="0"/>
      <w:divBdr>
        <w:top w:val="none" w:sz="0" w:space="0" w:color="auto"/>
        <w:left w:val="none" w:sz="0" w:space="0" w:color="auto"/>
        <w:bottom w:val="none" w:sz="0" w:space="0" w:color="auto"/>
        <w:right w:val="none" w:sz="0" w:space="0" w:color="auto"/>
      </w:divBdr>
    </w:div>
    <w:div w:id="1084574779">
      <w:bodyDiv w:val="1"/>
      <w:marLeft w:val="0"/>
      <w:marRight w:val="0"/>
      <w:marTop w:val="0"/>
      <w:marBottom w:val="0"/>
      <w:divBdr>
        <w:top w:val="none" w:sz="0" w:space="0" w:color="auto"/>
        <w:left w:val="none" w:sz="0" w:space="0" w:color="auto"/>
        <w:bottom w:val="none" w:sz="0" w:space="0" w:color="auto"/>
        <w:right w:val="none" w:sz="0" w:space="0" w:color="auto"/>
      </w:divBdr>
    </w:div>
    <w:div w:id="1136027660">
      <w:bodyDiv w:val="1"/>
      <w:marLeft w:val="0"/>
      <w:marRight w:val="0"/>
      <w:marTop w:val="0"/>
      <w:marBottom w:val="0"/>
      <w:divBdr>
        <w:top w:val="none" w:sz="0" w:space="0" w:color="auto"/>
        <w:left w:val="none" w:sz="0" w:space="0" w:color="auto"/>
        <w:bottom w:val="none" w:sz="0" w:space="0" w:color="auto"/>
        <w:right w:val="none" w:sz="0" w:space="0" w:color="auto"/>
      </w:divBdr>
    </w:div>
    <w:div w:id="1201935739">
      <w:bodyDiv w:val="1"/>
      <w:marLeft w:val="0"/>
      <w:marRight w:val="0"/>
      <w:marTop w:val="0"/>
      <w:marBottom w:val="0"/>
      <w:divBdr>
        <w:top w:val="none" w:sz="0" w:space="0" w:color="auto"/>
        <w:left w:val="none" w:sz="0" w:space="0" w:color="auto"/>
        <w:bottom w:val="none" w:sz="0" w:space="0" w:color="auto"/>
        <w:right w:val="none" w:sz="0" w:space="0" w:color="auto"/>
      </w:divBdr>
    </w:div>
    <w:div w:id="1293710781">
      <w:bodyDiv w:val="1"/>
      <w:marLeft w:val="0"/>
      <w:marRight w:val="0"/>
      <w:marTop w:val="0"/>
      <w:marBottom w:val="0"/>
      <w:divBdr>
        <w:top w:val="none" w:sz="0" w:space="0" w:color="auto"/>
        <w:left w:val="none" w:sz="0" w:space="0" w:color="auto"/>
        <w:bottom w:val="none" w:sz="0" w:space="0" w:color="auto"/>
        <w:right w:val="none" w:sz="0" w:space="0" w:color="auto"/>
      </w:divBdr>
    </w:div>
    <w:div w:id="1323309603">
      <w:bodyDiv w:val="1"/>
      <w:marLeft w:val="0"/>
      <w:marRight w:val="0"/>
      <w:marTop w:val="0"/>
      <w:marBottom w:val="0"/>
      <w:divBdr>
        <w:top w:val="none" w:sz="0" w:space="0" w:color="auto"/>
        <w:left w:val="none" w:sz="0" w:space="0" w:color="auto"/>
        <w:bottom w:val="none" w:sz="0" w:space="0" w:color="auto"/>
        <w:right w:val="none" w:sz="0" w:space="0" w:color="auto"/>
      </w:divBdr>
    </w:div>
    <w:div w:id="1367178520">
      <w:bodyDiv w:val="1"/>
      <w:marLeft w:val="0"/>
      <w:marRight w:val="0"/>
      <w:marTop w:val="0"/>
      <w:marBottom w:val="0"/>
      <w:divBdr>
        <w:top w:val="none" w:sz="0" w:space="0" w:color="auto"/>
        <w:left w:val="none" w:sz="0" w:space="0" w:color="auto"/>
        <w:bottom w:val="none" w:sz="0" w:space="0" w:color="auto"/>
        <w:right w:val="none" w:sz="0" w:space="0" w:color="auto"/>
      </w:divBdr>
    </w:div>
    <w:div w:id="1406798960">
      <w:bodyDiv w:val="1"/>
      <w:marLeft w:val="0"/>
      <w:marRight w:val="0"/>
      <w:marTop w:val="0"/>
      <w:marBottom w:val="0"/>
      <w:divBdr>
        <w:top w:val="none" w:sz="0" w:space="0" w:color="auto"/>
        <w:left w:val="none" w:sz="0" w:space="0" w:color="auto"/>
        <w:bottom w:val="none" w:sz="0" w:space="0" w:color="auto"/>
        <w:right w:val="none" w:sz="0" w:space="0" w:color="auto"/>
      </w:divBdr>
    </w:div>
    <w:div w:id="1427379556">
      <w:bodyDiv w:val="1"/>
      <w:marLeft w:val="0"/>
      <w:marRight w:val="0"/>
      <w:marTop w:val="0"/>
      <w:marBottom w:val="0"/>
      <w:divBdr>
        <w:top w:val="none" w:sz="0" w:space="0" w:color="auto"/>
        <w:left w:val="none" w:sz="0" w:space="0" w:color="auto"/>
        <w:bottom w:val="none" w:sz="0" w:space="0" w:color="auto"/>
        <w:right w:val="none" w:sz="0" w:space="0" w:color="auto"/>
      </w:divBdr>
    </w:div>
    <w:div w:id="1601372357">
      <w:bodyDiv w:val="1"/>
      <w:marLeft w:val="0"/>
      <w:marRight w:val="0"/>
      <w:marTop w:val="0"/>
      <w:marBottom w:val="0"/>
      <w:divBdr>
        <w:top w:val="none" w:sz="0" w:space="0" w:color="auto"/>
        <w:left w:val="none" w:sz="0" w:space="0" w:color="auto"/>
        <w:bottom w:val="none" w:sz="0" w:space="0" w:color="auto"/>
        <w:right w:val="none" w:sz="0" w:space="0" w:color="auto"/>
      </w:divBdr>
    </w:div>
    <w:div w:id="1671327697">
      <w:bodyDiv w:val="1"/>
      <w:marLeft w:val="0"/>
      <w:marRight w:val="0"/>
      <w:marTop w:val="0"/>
      <w:marBottom w:val="0"/>
      <w:divBdr>
        <w:top w:val="none" w:sz="0" w:space="0" w:color="auto"/>
        <w:left w:val="none" w:sz="0" w:space="0" w:color="auto"/>
        <w:bottom w:val="none" w:sz="0" w:space="0" w:color="auto"/>
        <w:right w:val="none" w:sz="0" w:space="0" w:color="auto"/>
      </w:divBdr>
    </w:div>
    <w:div w:id="1681927781">
      <w:bodyDiv w:val="1"/>
      <w:marLeft w:val="0"/>
      <w:marRight w:val="0"/>
      <w:marTop w:val="0"/>
      <w:marBottom w:val="0"/>
      <w:divBdr>
        <w:top w:val="none" w:sz="0" w:space="0" w:color="auto"/>
        <w:left w:val="none" w:sz="0" w:space="0" w:color="auto"/>
        <w:bottom w:val="none" w:sz="0" w:space="0" w:color="auto"/>
        <w:right w:val="none" w:sz="0" w:space="0" w:color="auto"/>
      </w:divBdr>
    </w:div>
    <w:div w:id="1879510215">
      <w:bodyDiv w:val="1"/>
      <w:marLeft w:val="0"/>
      <w:marRight w:val="0"/>
      <w:marTop w:val="0"/>
      <w:marBottom w:val="0"/>
      <w:divBdr>
        <w:top w:val="none" w:sz="0" w:space="0" w:color="auto"/>
        <w:left w:val="none" w:sz="0" w:space="0" w:color="auto"/>
        <w:bottom w:val="none" w:sz="0" w:space="0" w:color="auto"/>
        <w:right w:val="none" w:sz="0" w:space="0" w:color="auto"/>
      </w:divBdr>
    </w:div>
    <w:div w:id="1883902564">
      <w:bodyDiv w:val="1"/>
      <w:marLeft w:val="0"/>
      <w:marRight w:val="0"/>
      <w:marTop w:val="0"/>
      <w:marBottom w:val="0"/>
      <w:divBdr>
        <w:top w:val="none" w:sz="0" w:space="0" w:color="auto"/>
        <w:left w:val="none" w:sz="0" w:space="0" w:color="auto"/>
        <w:bottom w:val="none" w:sz="0" w:space="0" w:color="auto"/>
        <w:right w:val="none" w:sz="0" w:space="0" w:color="auto"/>
      </w:divBdr>
    </w:div>
    <w:div w:id="1890459861">
      <w:bodyDiv w:val="1"/>
      <w:marLeft w:val="0"/>
      <w:marRight w:val="0"/>
      <w:marTop w:val="0"/>
      <w:marBottom w:val="0"/>
      <w:divBdr>
        <w:top w:val="none" w:sz="0" w:space="0" w:color="auto"/>
        <w:left w:val="none" w:sz="0" w:space="0" w:color="auto"/>
        <w:bottom w:val="none" w:sz="0" w:space="0" w:color="auto"/>
        <w:right w:val="none" w:sz="0" w:space="0" w:color="auto"/>
      </w:divBdr>
    </w:div>
    <w:div w:id="1908492800">
      <w:bodyDiv w:val="1"/>
      <w:marLeft w:val="0"/>
      <w:marRight w:val="0"/>
      <w:marTop w:val="0"/>
      <w:marBottom w:val="0"/>
      <w:divBdr>
        <w:top w:val="none" w:sz="0" w:space="0" w:color="auto"/>
        <w:left w:val="none" w:sz="0" w:space="0" w:color="auto"/>
        <w:bottom w:val="none" w:sz="0" w:space="0" w:color="auto"/>
        <w:right w:val="none" w:sz="0" w:space="0" w:color="auto"/>
      </w:divBdr>
    </w:div>
    <w:div w:id="208556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Fraga, Tonya J</dc:creator>
  <cp:keywords/>
  <dc:description/>
  <cp:lastModifiedBy>Fraga, Tonya J</cp:lastModifiedBy>
  <cp:revision>5</cp:revision>
  <dcterms:created xsi:type="dcterms:W3CDTF">2025-04-30T18:51:00Z</dcterms:created>
  <dcterms:modified xsi:type="dcterms:W3CDTF">2025-04-30T19:27:00Z</dcterms:modified>
</cp:coreProperties>
</file>